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76B6D0">
      <w:pPr>
        <w:spacing w:after="0" w:line="240" w:lineRule="auto"/>
        <w:jc w:val="center"/>
        <w:rPr>
          <w:rFonts w:ascii="Cambria" w:hAnsi="Cambria" w:eastAsia="Cambria" w:cs="Cambria"/>
          <w:b/>
          <w:sz w:val="28"/>
          <w:szCs w:val="28"/>
        </w:rPr>
      </w:pPr>
      <w:r>
        <w:rPr>
          <w:rFonts w:ascii="Cambria" w:hAnsi="Cambria" w:eastAsia="Cambria" w:cs="Cambria"/>
          <w:b/>
          <w:sz w:val="28"/>
          <w:szCs w:val="28"/>
        </w:rPr>
        <w:t xml:space="preserve">ANALYSIS OF STUDENTS' MATHEMATICAL CONCEPT UNDERSTANDING ABILITY IN THE MATERIAL </w:t>
      </w:r>
    </w:p>
    <w:p w14:paraId="2F863A8D">
      <w:pPr>
        <w:spacing w:after="0" w:line="240" w:lineRule="auto"/>
        <w:jc w:val="center"/>
        <w:rPr>
          <w:rFonts w:ascii="Cambria" w:hAnsi="Cambria" w:eastAsia="Cambria" w:cs="Cambria"/>
          <w:b/>
          <w:sz w:val="28"/>
          <w:szCs w:val="28"/>
        </w:rPr>
      </w:pPr>
      <w:r>
        <w:rPr>
          <w:rFonts w:ascii="Cambria" w:hAnsi="Cambria" w:eastAsia="Cambria" w:cs="Cambria"/>
          <w:b/>
          <w:sz w:val="28"/>
          <w:szCs w:val="28"/>
        </w:rPr>
        <w:t>OF INTEGER NUMBERS</w:t>
      </w:r>
    </w:p>
    <w:p w14:paraId="4B80FD2D">
      <w:pPr>
        <w:spacing w:after="0" w:line="240" w:lineRule="auto"/>
        <w:jc w:val="center"/>
        <w:rPr>
          <w:rFonts w:ascii="Cambria" w:hAnsi="Cambria" w:eastAsia="Cambria" w:cs="Cambria"/>
          <w:b/>
        </w:rPr>
      </w:pPr>
    </w:p>
    <w:p w14:paraId="2E7D8BE7">
      <w:pPr>
        <w:tabs>
          <w:tab w:val="left" w:pos="3119"/>
        </w:tabs>
        <w:spacing w:after="0" w:line="240" w:lineRule="auto"/>
        <w:jc w:val="center"/>
        <w:rPr>
          <w:rFonts w:ascii="Cambria" w:hAnsi="Cambria" w:eastAsia="Cambria" w:cs="Cambria"/>
          <w:color w:val="000000"/>
          <w:sz w:val="24"/>
          <w:szCs w:val="24"/>
        </w:rPr>
      </w:pPr>
      <w:r>
        <w:rPr>
          <w:rFonts w:ascii="Cambria" w:hAnsi="Cambria" w:eastAsia="Cambria" w:cs="Cambria"/>
          <w:color w:val="000000"/>
          <w:sz w:val="24"/>
          <w:szCs w:val="24"/>
        </w:rPr>
        <w:t>Nanda Fatira Dwi Yanti</w:t>
      </w:r>
      <w:r>
        <w:rPr>
          <w:rFonts w:ascii="Cambria" w:hAnsi="Cambria" w:eastAsia="Cambria" w:cs="Cambria"/>
          <w:color w:val="000000"/>
          <w:sz w:val="24"/>
          <w:szCs w:val="24"/>
          <w:vertAlign w:val="superscript"/>
        </w:rPr>
        <w:t>1</w:t>
      </w:r>
      <w:r>
        <w:rPr>
          <w:rFonts w:ascii="Cambria" w:hAnsi="Cambria" w:eastAsia="Cambria" w:cs="Cambria"/>
          <w:color w:val="000000"/>
          <w:sz w:val="24"/>
          <w:szCs w:val="24"/>
        </w:rPr>
        <w:t>, Adi Ihsan Imami</w:t>
      </w:r>
      <w:r>
        <w:rPr>
          <w:rFonts w:ascii="Cambria" w:hAnsi="Cambria" w:eastAsia="Cambria" w:cs="Cambria"/>
          <w:color w:val="000000"/>
          <w:sz w:val="24"/>
          <w:szCs w:val="24"/>
          <w:vertAlign w:val="superscript"/>
        </w:rPr>
        <w:t>2</w:t>
      </w:r>
    </w:p>
    <w:p w14:paraId="216CED9E">
      <w:pPr>
        <w:tabs>
          <w:tab w:val="left" w:pos="3119"/>
        </w:tabs>
        <w:spacing w:after="0" w:line="240" w:lineRule="auto"/>
        <w:jc w:val="center"/>
        <w:rPr>
          <w:rFonts w:ascii="Cambria" w:hAnsi="Cambria" w:eastAsia="Cambria" w:cs="Cambria"/>
          <w:b/>
          <w:color w:val="000000"/>
          <w:sz w:val="24"/>
          <w:szCs w:val="24"/>
          <w:vertAlign w:val="superscript"/>
        </w:rPr>
      </w:pPr>
    </w:p>
    <w:p w14:paraId="6AE491ED">
      <w:pPr>
        <w:tabs>
          <w:tab w:val="left" w:pos="3119"/>
        </w:tabs>
        <w:spacing w:after="0" w:line="240" w:lineRule="auto"/>
        <w:jc w:val="center"/>
        <w:rPr>
          <w:rFonts w:ascii="Cambria" w:hAnsi="Cambria" w:eastAsia="Cambria" w:cs="Cambria"/>
          <w:color w:val="000000"/>
          <w:sz w:val="20"/>
          <w:szCs w:val="20"/>
        </w:rPr>
      </w:pPr>
      <w:r>
        <w:rPr>
          <w:rFonts w:ascii="Cambria" w:hAnsi="Cambria" w:eastAsia="Cambria" w:cs="Cambria"/>
          <w:color w:val="000000"/>
          <w:sz w:val="20"/>
          <w:szCs w:val="20"/>
          <w:vertAlign w:val="superscript"/>
        </w:rPr>
        <w:t>1</w:t>
      </w:r>
      <w:r>
        <w:rPr>
          <w:rFonts w:hint="default" w:ascii="Cambria" w:hAnsi="Cambria" w:eastAsia="Cambria" w:cs="Cambria"/>
          <w:color w:val="000000"/>
          <w:sz w:val="20"/>
          <w:szCs w:val="20"/>
          <w:vertAlign w:val="superscript"/>
          <w:lang w:val="en-US"/>
        </w:rPr>
        <w:t>*</w:t>
      </w:r>
      <w:r>
        <w:rPr>
          <w:rFonts w:ascii="Cambria" w:hAnsi="Cambria" w:eastAsia="Cambria" w:cs="Cambria"/>
          <w:color w:val="000000"/>
          <w:sz w:val="20"/>
          <w:szCs w:val="20"/>
          <w:vertAlign w:val="superscript"/>
        </w:rPr>
        <w:t>.2</w:t>
      </w:r>
      <w:r>
        <w:rPr>
          <w:rFonts w:ascii="Cambria" w:hAnsi="Cambria" w:eastAsia="Cambria" w:cs="Cambria"/>
          <w:color w:val="000000"/>
          <w:sz w:val="20"/>
          <w:szCs w:val="20"/>
        </w:rPr>
        <w:t>University of Singaperbangsa Karawang, Karawang, Indonesia</w:t>
      </w:r>
    </w:p>
    <w:p w14:paraId="5DBF0E88">
      <w:pPr>
        <w:tabs>
          <w:tab w:val="left" w:pos="3119"/>
        </w:tabs>
        <w:spacing w:after="0" w:line="240" w:lineRule="auto"/>
        <w:jc w:val="center"/>
        <w:rPr>
          <w:rFonts w:ascii="Cambria" w:hAnsi="Cambria" w:eastAsia="Cambria" w:cs="Cambria"/>
          <w:i/>
          <w:sz w:val="18"/>
          <w:szCs w:val="18"/>
        </w:rPr>
      </w:pPr>
      <w:r>
        <w:rPr>
          <w:rFonts w:ascii="Cambria" w:hAnsi="Cambria" w:eastAsia="Cambria" w:cs="Cambria"/>
          <w:sz w:val="18"/>
          <w:szCs w:val="18"/>
        </w:rPr>
        <w:t>*Corresponding author. Singaperbangsa University Karawang, 41361, West Java, Indonesia.</w:t>
      </w:r>
    </w:p>
    <w:p w14:paraId="059D64BB">
      <w:pPr>
        <w:tabs>
          <w:tab w:val="left" w:pos="3119"/>
        </w:tabs>
        <w:spacing w:after="0" w:line="240" w:lineRule="auto"/>
        <w:jc w:val="center"/>
        <w:rPr>
          <w:rFonts w:ascii="Cambria" w:hAnsi="Cambria" w:eastAsia="Cambria" w:cs="Cambria"/>
          <w:color w:val="000000"/>
          <w:sz w:val="24"/>
          <w:szCs w:val="24"/>
        </w:rPr>
      </w:pPr>
    </w:p>
    <w:tbl>
      <w:tblPr>
        <w:tblStyle w:val="32"/>
        <w:tblW w:w="4673" w:type="dxa"/>
        <w:jc w:val="center"/>
        <w:tblLayout w:type="fixed"/>
        <w:tblCellMar>
          <w:top w:w="0" w:type="dxa"/>
          <w:left w:w="108" w:type="dxa"/>
          <w:bottom w:w="0" w:type="dxa"/>
          <w:right w:w="108" w:type="dxa"/>
        </w:tblCellMar>
      </w:tblPr>
      <w:tblGrid>
        <w:gridCol w:w="1082"/>
        <w:gridCol w:w="3591"/>
      </w:tblGrid>
      <w:tr w14:paraId="1E277E8E">
        <w:tblPrEx>
          <w:tblCellMar>
            <w:top w:w="0" w:type="dxa"/>
            <w:left w:w="108" w:type="dxa"/>
            <w:bottom w:w="0" w:type="dxa"/>
            <w:right w:w="108" w:type="dxa"/>
          </w:tblCellMar>
        </w:tblPrEx>
        <w:trPr>
          <w:jc w:val="center"/>
        </w:trPr>
        <w:tc>
          <w:tcPr>
            <w:tcW w:w="1082" w:type="dxa"/>
          </w:tcPr>
          <w:p w14:paraId="022E0DF0">
            <w:pPr>
              <w:tabs>
                <w:tab w:val="left" w:pos="3119"/>
              </w:tabs>
              <w:spacing w:after="0" w:line="240" w:lineRule="auto"/>
              <w:jc w:val="center"/>
              <w:rPr>
                <w:rFonts w:ascii="Cambria" w:hAnsi="Cambria" w:eastAsia="Cambria" w:cs="Cambria"/>
                <w:i/>
                <w:color w:val="000000"/>
                <w:sz w:val="20"/>
                <w:szCs w:val="20"/>
              </w:rPr>
            </w:pPr>
            <w:r>
              <w:rPr>
                <w:rFonts w:ascii="Cambria" w:hAnsi="Cambria" w:eastAsia="Cambria" w:cs="Cambria"/>
                <w:i/>
                <w:color w:val="000000"/>
                <w:sz w:val="20"/>
                <w:szCs w:val="20"/>
              </w:rPr>
              <w:t>E-mail:</w:t>
            </w:r>
          </w:p>
        </w:tc>
        <w:tc>
          <w:tcPr>
            <w:tcW w:w="3591" w:type="dxa"/>
          </w:tcPr>
          <w:p w14:paraId="3BD965E9">
            <w:pPr>
              <w:tabs>
                <w:tab w:val="left" w:pos="3119"/>
              </w:tabs>
              <w:spacing w:after="0" w:line="240" w:lineRule="auto"/>
              <w:jc w:val="center"/>
              <w:rPr>
                <w:rFonts w:ascii="Cambria" w:hAnsi="Cambria" w:eastAsia="Cambria" w:cs="Cambria"/>
                <w:i/>
                <w:sz w:val="20"/>
                <w:szCs w:val="20"/>
                <w:vertAlign w:val="superscript"/>
              </w:rPr>
            </w:pPr>
            <w:r>
              <w:fldChar w:fldCharType="begin"/>
            </w:r>
            <w:r>
              <w:instrText xml:space="preserve"> HYPERLINK "mailto:2110631050087@student.unsika.ac.id1" </w:instrText>
            </w:r>
            <w:r>
              <w:fldChar w:fldCharType="separate"/>
            </w:r>
            <w:r>
              <w:rPr>
                <w:rStyle w:val="18"/>
                <w:rFonts w:ascii="Cambria" w:hAnsi="Cambria" w:eastAsia="Cambria" w:cs="Cambria"/>
                <w:i/>
                <w:sz w:val="20"/>
                <w:szCs w:val="20"/>
              </w:rPr>
              <w:t>2110631050087@student.unsika.ac.id</w:t>
            </w:r>
            <w:r>
              <w:rPr>
                <w:rStyle w:val="18"/>
                <w:rFonts w:ascii="Cambria" w:hAnsi="Cambria" w:eastAsia="Cambria" w:cs="Cambria"/>
                <w:i/>
                <w:sz w:val="20"/>
                <w:szCs w:val="20"/>
                <w:vertAlign w:val="superscript"/>
              </w:rPr>
              <w:t>1</w:t>
            </w:r>
            <w:r>
              <w:rPr>
                <w:rStyle w:val="18"/>
                <w:rFonts w:ascii="Cambria" w:hAnsi="Cambria" w:eastAsia="Cambria" w:cs="Cambria"/>
                <w:i/>
                <w:sz w:val="20"/>
                <w:szCs w:val="20"/>
                <w:vertAlign w:val="superscript"/>
              </w:rPr>
              <w:fldChar w:fldCharType="end"/>
            </w:r>
            <w:r>
              <w:rPr>
                <w:rFonts w:ascii="Cambria" w:hAnsi="Cambria" w:eastAsia="Cambria" w:cs="Cambria"/>
                <w:i/>
                <w:sz w:val="20"/>
                <w:szCs w:val="20"/>
                <w:vertAlign w:val="superscript"/>
              </w:rPr>
              <w:t xml:space="preserve"> </w:t>
            </w:r>
          </w:p>
        </w:tc>
      </w:tr>
      <w:tr w14:paraId="33724C11">
        <w:tblPrEx>
          <w:tblCellMar>
            <w:top w:w="0" w:type="dxa"/>
            <w:left w:w="108" w:type="dxa"/>
            <w:bottom w:w="0" w:type="dxa"/>
            <w:right w:w="108" w:type="dxa"/>
          </w:tblCellMar>
        </w:tblPrEx>
        <w:trPr>
          <w:jc w:val="center"/>
        </w:trPr>
        <w:tc>
          <w:tcPr>
            <w:tcW w:w="1082" w:type="dxa"/>
          </w:tcPr>
          <w:p w14:paraId="6C2ECF12">
            <w:pPr>
              <w:tabs>
                <w:tab w:val="left" w:pos="3119"/>
              </w:tabs>
              <w:spacing w:after="0" w:line="240" w:lineRule="auto"/>
              <w:jc w:val="center"/>
              <w:rPr>
                <w:rFonts w:ascii="Cambria" w:hAnsi="Cambria" w:eastAsia="Cambria" w:cs="Cambria"/>
                <w:color w:val="000000"/>
                <w:sz w:val="20"/>
                <w:szCs w:val="20"/>
              </w:rPr>
            </w:pPr>
          </w:p>
        </w:tc>
        <w:tc>
          <w:tcPr>
            <w:tcW w:w="3591" w:type="dxa"/>
          </w:tcPr>
          <w:p w14:paraId="5ACADC4D">
            <w:pPr>
              <w:tabs>
                <w:tab w:val="left" w:pos="3119"/>
              </w:tabs>
              <w:spacing w:after="0" w:line="240" w:lineRule="auto"/>
              <w:rPr>
                <w:rFonts w:ascii="Cambria" w:hAnsi="Cambria" w:eastAsia="Cambria" w:cs="Cambria"/>
                <w:i/>
                <w:sz w:val="20"/>
                <w:szCs w:val="20"/>
                <w:vertAlign w:val="superscript"/>
              </w:rPr>
            </w:pPr>
            <w:r>
              <w:fldChar w:fldCharType="begin"/>
            </w:r>
            <w:r>
              <w:instrText xml:space="preserve"> HYPERLINK "mailto:adi.ihsan@fkip.unsika.ac.id2" </w:instrText>
            </w:r>
            <w:r>
              <w:fldChar w:fldCharType="separate"/>
            </w:r>
            <w:r>
              <w:rPr>
                <w:rStyle w:val="18"/>
                <w:rFonts w:ascii="Cambria" w:hAnsi="Cambria" w:eastAsia="Cambria" w:cs="Cambria"/>
                <w:i/>
                <w:sz w:val="20"/>
                <w:szCs w:val="20"/>
              </w:rPr>
              <w:t>adi.ihsan@fkip.unsika.ac.id</w:t>
            </w:r>
            <w:r>
              <w:rPr>
                <w:rStyle w:val="18"/>
                <w:rFonts w:ascii="Cambria" w:hAnsi="Cambria" w:eastAsia="Cambria" w:cs="Cambria"/>
                <w:i/>
                <w:sz w:val="20"/>
                <w:szCs w:val="20"/>
                <w:vertAlign w:val="superscript"/>
              </w:rPr>
              <w:t>2</w:t>
            </w:r>
            <w:r>
              <w:rPr>
                <w:rStyle w:val="18"/>
                <w:rFonts w:ascii="Cambria" w:hAnsi="Cambria" w:eastAsia="Cambria" w:cs="Cambria"/>
                <w:i/>
                <w:sz w:val="20"/>
                <w:szCs w:val="20"/>
                <w:vertAlign w:val="superscript"/>
              </w:rPr>
              <w:fldChar w:fldCharType="end"/>
            </w:r>
            <w:r>
              <w:rPr>
                <w:rFonts w:ascii="Cambria" w:hAnsi="Cambria" w:eastAsia="Cambria" w:cs="Cambria"/>
                <w:i/>
                <w:sz w:val="20"/>
                <w:szCs w:val="20"/>
                <w:vertAlign w:val="superscript"/>
              </w:rPr>
              <w:t xml:space="preserve"> </w:t>
            </w:r>
          </w:p>
        </w:tc>
      </w:tr>
    </w:tbl>
    <w:p w14:paraId="42DCF6B3">
      <w:pPr>
        <w:tabs>
          <w:tab w:val="left" w:pos="3119"/>
        </w:tabs>
        <w:spacing w:after="0" w:line="240" w:lineRule="auto"/>
        <w:jc w:val="center"/>
        <w:rPr>
          <w:rFonts w:ascii="Cambria" w:hAnsi="Cambria" w:eastAsia="Cambria" w:cs="Cambria"/>
          <w:color w:val="000000"/>
          <w:sz w:val="24"/>
          <w:szCs w:val="24"/>
        </w:rPr>
      </w:pPr>
    </w:p>
    <w:p w14:paraId="43A37E08">
      <w:pPr>
        <w:tabs>
          <w:tab w:val="left" w:pos="3119"/>
        </w:tabs>
        <w:spacing w:after="0" w:line="240" w:lineRule="auto"/>
        <w:jc w:val="center"/>
        <w:rPr>
          <w:rFonts w:ascii="Cambria" w:hAnsi="Cambria" w:eastAsia="Cambria" w:cs="Cambria"/>
          <w:iCs/>
          <w:sz w:val="18"/>
          <w:szCs w:val="18"/>
          <w:lang w:val="en-US"/>
        </w:rPr>
      </w:pPr>
      <w:r>
        <w:rPr>
          <w:rFonts w:ascii="Cambria" w:hAnsi="Cambria" w:eastAsia="Cambria" w:cs="Cambria"/>
          <w:iCs/>
          <w:sz w:val="18"/>
          <w:szCs w:val="18"/>
        </w:rPr>
        <w:t>Received</w:t>
      </w:r>
      <w:r>
        <w:rPr>
          <w:rFonts w:ascii="Cambria" w:hAnsi="Cambria" w:eastAsia="Cambria" w:cs="Cambria"/>
          <w:iCs/>
          <w:sz w:val="18"/>
          <w:szCs w:val="18"/>
          <w:lang w:val="en-US"/>
        </w:rPr>
        <w:t xml:space="preserve"> </w:t>
      </w:r>
      <w:r>
        <w:rPr>
          <w:rFonts w:hint="default" w:ascii="Cambria" w:hAnsi="Cambria" w:eastAsia="Cambria" w:cs="Cambria"/>
          <w:iCs/>
          <w:sz w:val="18"/>
          <w:szCs w:val="18"/>
          <w:lang w:val="en-US"/>
        </w:rPr>
        <w:t xml:space="preserve">February 02, </w:t>
      </w:r>
      <w:r>
        <w:rPr>
          <w:rFonts w:ascii="Cambria" w:hAnsi="Cambria" w:eastAsia="Cambria" w:cs="Cambria"/>
          <w:iCs/>
          <w:sz w:val="18"/>
          <w:szCs w:val="18"/>
          <w:lang w:val="en-US"/>
        </w:rPr>
        <w:t>2025</w:t>
      </w:r>
      <w:r>
        <w:rPr>
          <w:rFonts w:ascii="Cambria" w:hAnsi="Cambria" w:eastAsia="Cambria" w:cs="Cambria"/>
          <w:iCs/>
          <w:sz w:val="18"/>
          <w:szCs w:val="18"/>
        </w:rPr>
        <w:t>; Received in revised form</w:t>
      </w:r>
      <w:r>
        <w:rPr>
          <w:rFonts w:hint="default" w:ascii="Cambria" w:hAnsi="Cambria" w:eastAsia="Cambria" w:cs="Cambria"/>
          <w:iCs/>
          <w:sz w:val="18"/>
          <w:szCs w:val="18"/>
          <w:lang w:val="en-US"/>
        </w:rPr>
        <w:t xml:space="preserve"> February 19,</w:t>
      </w:r>
      <w:r>
        <w:rPr>
          <w:rFonts w:ascii="Cambria" w:hAnsi="Cambria" w:eastAsia="Cambria" w:cs="Cambria"/>
          <w:iCs/>
          <w:sz w:val="18"/>
          <w:szCs w:val="18"/>
          <w:lang w:val="en-US"/>
        </w:rPr>
        <w:t>2025</w:t>
      </w:r>
      <w:r>
        <w:rPr>
          <w:rFonts w:ascii="Cambria" w:hAnsi="Cambria" w:eastAsia="Cambria" w:cs="Cambria"/>
          <w:iCs/>
          <w:sz w:val="18"/>
          <w:szCs w:val="18"/>
        </w:rPr>
        <w:t xml:space="preserve">; Accepted </w:t>
      </w:r>
      <w:r>
        <w:rPr>
          <w:rFonts w:hint="default" w:ascii="Cambria" w:hAnsi="Cambria" w:eastAsia="Cambria" w:cs="Cambria"/>
          <w:iCs/>
          <w:sz w:val="18"/>
          <w:szCs w:val="18"/>
          <w:lang w:val="en-US"/>
        </w:rPr>
        <w:t>March 15,</w:t>
      </w:r>
      <w:r>
        <w:rPr>
          <w:rFonts w:ascii="Cambria" w:hAnsi="Cambria" w:eastAsia="Cambria" w:cs="Cambria"/>
          <w:iCs/>
          <w:sz w:val="18"/>
          <w:szCs w:val="18"/>
          <w:lang w:val="en-US"/>
        </w:rPr>
        <w:t xml:space="preserve"> 2025</w:t>
      </w:r>
    </w:p>
    <w:p w14:paraId="0E071E52">
      <w:pPr>
        <w:tabs>
          <w:tab w:val="left" w:pos="3119"/>
        </w:tabs>
        <w:spacing w:after="0" w:line="240" w:lineRule="auto"/>
        <w:jc w:val="center"/>
        <w:rPr>
          <w:rFonts w:ascii="Cambria" w:hAnsi="Cambria" w:eastAsia="Cambria" w:cs="Cambria"/>
          <w:iCs/>
          <w:sz w:val="18"/>
          <w:szCs w:val="18"/>
          <w:lang w:val="en-US"/>
        </w:rPr>
      </w:pPr>
    </w:p>
    <w:tbl>
      <w:tblPr>
        <w:tblStyle w:val="33"/>
        <w:tblW w:w="8505" w:type="dxa"/>
        <w:tblInd w:w="0"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05"/>
      </w:tblGrid>
      <w:tr w14:paraId="4C0E71D1">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8505" w:type="dxa"/>
          </w:tcPr>
          <w:p w14:paraId="355A1710">
            <w:pPr>
              <w:spacing w:after="0" w:line="240" w:lineRule="auto"/>
              <w:ind w:left="-108"/>
              <w:rPr>
                <w:rFonts w:ascii="Cambria" w:hAnsi="Cambria" w:eastAsia="Cambria" w:cs="Cambria"/>
                <w:b/>
                <w:sz w:val="14"/>
                <w:szCs w:val="14"/>
              </w:rPr>
            </w:pPr>
          </w:p>
          <w:p w14:paraId="5C33873E">
            <w:pPr>
              <w:spacing w:after="0" w:line="240" w:lineRule="auto"/>
              <w:ind w:left="-108"/>
              <w:rPr>
                <w:rFonts w:ascii="Cambria" w:hAnsi="Cambria" w:eastAsia="Cambria" w:cs="Cambria"/>
                <w:b/>
                <w:sz w:val="20"/>
                <w:szCs w:val="20"/>
              </w:rPr>
            </w:pPr>
            <w:r>
              <w:rPr>
                <w:rFonts w:ascii="Cambria" w:hAnsi="Cambria" w:eastAsia="Cambria" w:cs="Cambria"/>
                <w:b/>
                <w:sz w:val="20"/>
                <w:szCs w:val="20"/>
              </w:rPr>
              <w:t>ABSTRACT</w:t>
            </w:r>
          </w:p>
          <w:p w14:paraId="24676E04">
            <w:pPr>
              <w:spacing w:after="0" w:line="240" w:lineRule="auto"/>
              <w:ind w:left="-108"/>
              <w:jc w:val="both"/>
              <w:rPr>
                <w:rFonts w:hint="default" w:ascii="Cambria" w:hAnsi="Cambria" w:eastAsia="Cambria" w:cs="Cambria"/>
                <w:b w:val="0"/>
                <w:bCs/>
                <w:sz w:val="20"/>
                <w:szCs w:val="20"/>
                <w:lang w:val="en-US"/>
              </w:rPr>
            </w:pPr>
            <w:r>
              <w:rPr>
                <w:rFonts w:hint="default" w:ascii="Cambria" w:hAnsi="Cambria" w:eastAsia="Cambria"/>
                <w:b w:val="0"/>
                <w:bCs/>
                <w:sz w:val="20"/>
                <w:szCs w:val="20"/>
              </w:rPr>
              <w:t>This study aims to analyze students' mathematical concept understanding ability in solving problems on integers. The research subjects were  using purposive sampling technique, grade VII students at a Public Junior High School in Karawang Regency. The research instrument consisted of three descriptive questions that measured three indicators of conceptual understanding, namely translation (changing the form of a story problem into a mathematical equation), interpretation (giving meaning to the results of calculations), and extrapolation (concluding the results obtained from previous calculations). Data were collected through written tests and analyzed using data reduction, data presentation, and conclusion drawing techniques. The results showed that students with high abilities met all three indicators of mathematical concept understanding. Students with moderate abilities only met one indicator, while students with low abilities did not meet the concept understanding indicator. These findings indicate that most students still have difficulty in understanding the concept of integers. Therefore, a more innovative learning approach is needed, such as problem-based learning and the use of teaching aids, to improve student understanding. In addition, more varied formative evaluations can help students develop translation, interpretation, and extrapolation skills. Teachers are also advised to provide more contextual exercises so that students can apply the concept of integers in everyday life. This study can be a reference for further research in identifying factors that influence students' understanding of mathematical concepts and more effective learning strategies. Thus, it is hoped that the results of this study can contribute to the development of better mathematics learning methods</w:t>
            </w:r>
            <w:r>
              <w:rPr>
                <w:rFonts w:hint="default" w:ascii="Cambria" w:hAnsi="Cambria" w:eastAsia="Cambria"/>
                <w:b w:val="0"/>
                <w:bCs/>
                <w:sz w:val="20"/>
                <w:szCs w:val="20"/>
                <w:lang w:val="en-US"/>
              </w:rPr>
              <w:t>.</w:t>
            </w:r>
          </w:p>
          <w:p w14:paraId="67E22350">
            <w:pPr>
              <w:spacing w:after="0" w:line="240" w:lineRule="auto"/>
              <w:ind w:left="-108"/>
              <w:rPr>
                <w:rFonts w:ascii="Cambria" w:hAnsi="Cambria" w:eastAsia="Cambria" w:cs="Cambria"/>
                <w:sz w:val="20"/>
                <w:szCs w:val="20"/>
              </w:rPr>
            </w:pPr>
            <w:r>
              <w:rPr>
                <w:rFonts w:ascii="Cambria" w:hAnsi="Cambria" w:eastAsia="Cambria" w:cs="Cambria"/>
                <w:b/>
                <w:sz w:val="20"/>
                <w:szCs w:val="20"/>
              </w:rPr>
              <w:t>Keywords</w:t>
            </w:r>
            <w:r>
              <w:rPr>
                <w:rFonts w:ascii="Cambria" w:hAnsi="Cambria" w:eastAsia="Cambria" w:cs="Cambria"/>
                <w:sz w:val="20"/>
                <w:szCs w:val="20"/>
              </w:rPr>
              <w:t xml:space="preserve">: </w:t>
            </w:r>
            <w:r>
              <w:rPr>
                <w:rFonts w:hint="default" w:ascii="Cambria" w:hAnsi="Cambria" w:eastAsia="Cambria" w:cs="Cambria"/>
                <w:sz w:val="20"/>
                <w:szCs w:val="20"/>
                <w:lang w:val="en-US"/>
              </w:rPr>
              <w:t>a</w:t>
            </w:r>
            <w:r>
              <w:rPr>
                <w:rFonts w:ascii="Cambria" w:hAnsi="Cambria" w:eastAsia="Cambria" w:cs="Cambria"/>
                <w:sz w:val="20"/>
                <w:szCs w:val="20"/>
              </w:rPr>
              <w:t>nalysis, integers, understanding of mathematical concepts.</w:t>
            </w:r>
          </w:p>
          <w:p w14:paraId="69719458">
            <w:pPr>
              <w:pBdr>
                <w:top w:val="none" w:color="auto" w:sz="0" w:space="0"/>
                <w:left w:val="none" w:color="auto" w:sz="0" w:space="0"/>
                <w:bottom w:val="none" w:color="auto" w:sz="0" w:space="0"/>
                <w:right w:val="none" w:color="auto" w:sz="0" w:space="0"/>
                <w:between w:val="none" w:color="auto" w:sz="0" w:space="0"/>
              </w:pBdr>
              <w:spacing w:after="0" w:line="240" w:lineRule="auto"/>
              <w:ind w:left="-108"/>
              <w:rPr>
                <w:rFonts w:ascii="Cambria" w:hAnsi="Cambria" w:eastAsia="Cambria" w:cs="Cambria"/>
                <w:color w:val="000000"/>
                <w:sz w:val="24"/>
                <w:szCs w:val="24"/>
              </w:rPr>
            </w:pPr>
          </w:p>
          <w:p w14:paraId="4554DD78">
            <w:pPr>
              <w:spacing w:after="0" w:line="240" w:lineRule="auto"/>
              <w:ind w:left="-108"/>
              <w:rPr>
                <w:rFonts w:ascii="Cambria" w:hAnsi="Cambria" w:eastAsia="Cambria" w:cs="Cambria"/>
                <w:i/>
                <w:sz w:val="20"/>
                <w:szCs w:val="20"/>
              </w:rPr>
            </w:pPr>
            <w:r>
              <w:rPr>
                <w:rFonts w:ascii="Cambria" w:hAnsi="Cambria" w:eastAsia="Cambria" w:cs="Cambria"/>
                <w:b/>
                <w:i/>
                <w:sz w:val="20"/>
                <w:szCs w:val="20"/>
              </w:rPr>
              <w:t>ABSTRAK</w:t>
            </w:r>
          </w:p>
          <w:p w14:paraId="281B244E">
            <w:pPr>
              <w:spacing w:after="0" w:line="240" w:lineRule="auto"/>
              <w:ind w:left="-108"/>
              <w:jc w:val="both"/>
              <w:rPr>
                <w:rFonts w:hint="default" w:ascii="Cambria" w:hAnsi="Cambria" w:eastAsia="Cambria" w:cs="Cambria"/>
                <w:i/>
                <w:iCs/>
                <w:sz w:val="20"/>
                <w:szCs w:val="20"/>
                <w:lang w:val="en-US"/>
              </w:rPr>
            </w:pPr>
            <w:r>
              <w:rPr>
                <w:rFonts w:ascii="Cambria" w:hAnsi="Cambria" w:eastAsia="Cambria" w:cs="Cambria"/>
                <w:i/>
                <w:iCs/>
                <w:sz w:val="20"/>
                <w:szCs w:val="20"/>
              </w:rPr>
              <w:t>Penelitian ini bertujuan untuk menganalisis kemampuan pemahaman konsep matematis siswa dalam menyelesaikan soal pada materi bilangan bulat. Subjek penelitian menggunakan teknik purposive sampling siswa kelas VII di SMP Negeri di Kabupaten Karawang. Instrumen penelitian terdiri dari tiga soal uraian yang mengukur tiga indikator pemahaman konsep, yaitu translation (mengubah bentuk soal cerita ke dalam persamaan matematika), interpretation (memberikan makna terhadap hasil perhitungan), dan extrapolation (menyimpulkan hasil yang diperoleh dari perhitungan sebelumnya). Data dikumpulkan melalui tes tertulis dan dianalisis dengan teknik reduksi data, penyajian data, dan penarikan kesimpulan. Hasil penelitian menunjukkan bahwa siswa dengan kemampuan tinggi memenuhi ketiga indikator pemahaman konsep matematis. Siswa dengan kemampuan sedang hanya memenuhi satu indikator, sementara siswa dengan kemampuan rendah tidak memenuhi indikator pemahaman konsep. Temuan ini mengindikasikan bahwa sebagian besar siswa masih mengalami kesulitan dalam memahami konsep bilangan bulat. Oleh karena itu, diperlukan pendekatan pembelajaran yang lebih inovatif, seperti pembelajaran berbasis masalah dan penggunaan alat peraga, untuk meningkatkan pemahaman siswa. Selain itu, evaluasi formatif yang lebih variatif dapat membantu siswa dalam mengembangkan keterampilan translation, interpretation, dan extrapolation. Guru juga disarankan untuk memberikan lebih banyak latihan kontekstual agar siswa dapat mengaplikasikan konsep bilangan bulat dalam kehidupan sehari-hari. Penelitian ini dapat menjadi acuan bagi penelitian selanjutnya dalam mengidentifikasi faktor-faktor yang mempengaruhi pemahaman konsep matematis siswa dan strategi pembelajaran yang lebih efektif. Dengan demikian, diharapkan hasil penelitian ini dapat memberikan kontribusi dalam pengembangan metode pembelajaran matematika yang lebih baik</w:t>
            </w:r>
            <w:r>
              <w:rPr>
                <w:rFonts w:hint="default" w:ascii="Cambria" w:hAnsi="Cambria" w:eastAsia="Cambria" w:cs="Cambria"/>
                <w:i/>
                <w:iCs/>
                <w:sz w:val="20"/>
                <w:szCs w:val="20"/>
                <w:lang w:val="en-US"/>
              </w:rPr>
              <w:t>.</w:t>
            </w:r>
          </w:p>
          <w:p w14:paraId="344C9BEE">
            <w:pPr>
              <w:spacing w:after="0" w:line="240" w:lineRule="auto"/>
              <w:ind w:left="-108"/>
              <w:rPr>
                <w:rFonts w:ascii="Cambria" w:hAnsi="Cambria" w:eastAsia="Cambria" w:cs="Cambria"/>
                <w:i/>
                <w:iCs/>
                <w:sz w:val="20"/>
                <w:szCs w:val="20"/>
              </w:rPr>
            </w:pPr>
            <w:r>
              <w:rPr>
                <w:rFonts w:ascii="Cambria" w:hAnsi="Cambria" w:eastAsia="Cambria" w:cs="Cambria"/>
                <w:b/>
                <w:i/>
                <w:iCs/>
                <w:sz w:val="20"/>
                <w:szCs w:val="20"/>
              </w:rPr>
              <w:t>Kata kunci</w:t>
            </w:r>
            <w:r>
              <w:rPr>
                <w:rFonts w:ascii="Cambria" w:hAnsi="Cambria" w:eastAsia="Cambria" w:cs="Cambria"/>
                <w:i/>
                <w:iCs/>
                <w:sz w:val="20"/>
                <w:szCs w:val="20"/>
              </w:rPr>
              <w:t xml:space="preserve">: </w:t>
            </w:r>
            <w:r>
              <w:rPr>
                <w:rFonts w:hint="default" w:ascii="Cambria" w:hAnsi="Cambria" w:eastAsia="Cambria" w:cs="Cambria"/>
                <w:i/>
                <w:iCs/>
                <w:sz w:val="20"/>
                <w:szCs w:val="20"/>
                <w:lang w:val="en-US"/>
              </w:rPr>
              <w:t>a</w:t>
            </w:r>
            <w:r>
              <w:rPr>
                <w:rFonts w:ascii="Cambria" w:hAnsi="Cambria" w:eastAsia="Cambria" w:cs="Cambria"/>
                <w:i/>
                <w:iCs/>
                <w:sz w:val="20"/>
                <w:szCs w:val="20"/>
              </w:rPr>
              <w:t xml:space="preserve">nalisis, bilangan bulat, pemahaman konsep matematis. </w:t>
            </w:r>
          </w:p>
          <w:p w14:paraId="43BCFF01">
            <w:pPr>
              <w:spacing w:after="0" w:line="240" w:lineRule="auto"/>
              <w:ind w:left="-180"/>
              <w:rPr>
                <w:rFonts w:ascii="Cambria" w:hAnsi="Cambria" w:eastAsia="Cambria" w:cs="Cambria"/>
                <w:color w:val="000000"/>
                <w:sz w:val="24"/>
                <w:szCs w:val="24"/>
              </w:rPr>
            </w:pPr>
            <w:r>
              <w:rPr>
                <w:lang w:val="en-US" w:eastAsia="en-US"/>
              </w:rPr>
              <w:drawing>
                <wp:anchor distT="0" distB="0" distL="114300" distR="114300" simplePos="0" relativeHeight="251660288" behindDoc="0" locked="0" layoutInCell="1" allowOverlap="1">
                  <wp:simplePos x="0" y="0"/>
                  <wp:positionH relativeFrom="column">
                    <wp:posOffset>-109220</wp:posOffset>
                  </wp:positionH>
                  <wp:positionV relativeFrom="paragraph">
                    <wp:posOffset>138430</wp:posOffset>
                  </wp:positionV>
                  <wp:extent cx="838200" cy="295275"/>
                  <wp:effectExtent l="0" t="0" r="0" b="9525"/>
                  <wp:wrapSquare wrapText="bothSides"/>
                  <wp:docPr id="2" name="image1.png" descr="Creative Commons License"/>
                  <wp:cNvGraphicFramePr/>
                  <a:graphic xmlns:a="http://schemas.openxmlformats.org/drawingml/2006/main">
                    <a:graphicData uri="http://schemas.openxmlformats.org/drawingml/2006/picture">
                      <pic:pic xmlns:pic="http://schemas.openxmlformats.org/drawingml/2006/picture">
                        <pic:nvPicPr>
                          <pic:cNvPr id="2" name="image1.png" descr="Creative Commons License"/>
                          <pic:cNvPicPr preferRelativeResize="0"/>
                        </pic:nvPicPr>
                        <pic:blipFill>
                          <a:blip r:embed="rId10"/>
                          <a:srcRect/>
                          <a:stretch>
                            <a:fillRect/>
                          </a:stretch>
                        </pic:blipFill>
                        <pic:spPr>
                          <a:xfrm>
                            <a:off x="0" y="0"/>
                            <a:ext cx="838200" cy="295275"/>
                          </a:xfrm>
                          <a:prstGeom prst="rect">
                            <a:avLst/>
                          </a:prstGeom>
                        </pic:spPr>
                      </pic:pic>
                    </a:graphicData>
                  </a:graphic>
                </wp:anchor>
              </w:drawing>
            </w:r>
          </w:p>
          <w:p w14:paraId="3F337BD2">
            <w:pPr>
              <w:spacing w:after="0" w:line="240" w:lineRule="auto"/>
              <w:ind w:left="-180" w:right="-70" w:rightChars="-32"/>
              <w:rPr>
                <w:rFonts w:ascii="Times New Roman" w:hAnsi="Times New Roman" w:eastAsia="Times New Roman" w:cs="Times New Roman"/>
                <w:b/>
                <w:color w:val="222222"/>
                <w:sz w:val="18"/>
                <w:szCs w:val="18"/>
                <w:highlight w:val="white"/>
                <w:u w:val="single"/>
              </w:rPr>
            </w:pPr>
            <w:r>
              <w:rPr>
                <w:rFonts w:ascii="Times New Roman" w:hAnsi="Times New Roman" w:eastAsia="Times New Roman" w:cs="Times New Roman"/>
                <w:color w:val="222222"/>
                <w:sz w:val="18"/>
                <w:szCs w:val="18"/>
                <w:highlight w:val="white"/>
              </w:rPr>
              <w:t>This</w:t>
            </w:r>
            <w:r>
              <w:rPr>
                <w:rFonts w:ascii="Times New Roman" w:hAnsi="Times New Roman" w:eastAsia="Times New Roman" w:cs="Times New Roman"/>
                <w:b/>
                <w:color w:val="222222"/>
                <w:sz w:val="18"/>
                <w:szCs w:val="18"/>
                <w:highlight w:val="white"/>
              </w:rPr>
              <w:t xml:space="preserve"> </w:t>
            </w:r>
            <w:r>
              <w:rPr>
                <w:rFonts w:ascii="Times New Roman" w:hAnsi="Times New Roman" w:eastAsia="Times New Roman" w:cs="Times New Roman"/>
                <w:color w:val="222222"/>
                <w:sz w:val="18"/>
                <w:szCs w:val="18"/>
                <w:highlight w:val="white"/>
              </w:rPr>
              <w:t>is an open access article under the</w:t>
            </w:r>
            <w:r>
              <w:rPr>
                <w:rFonts w:ascii="Times New Roman" w:hAnsi="Times New Roman" w:eastAsia="Times New Roman" w:cs="Times New Roman"/>
                <w:b/>
                <w:color w:val="222222"/>
                <w:sz w:val="18"/>
                <w:szCs w:val="18"/>
                <w:highlight w:val="white"/>
                <w:u w:val="single"/>
              </w:rPr>
              <w:t> </w:t>
            </w:r>
            <w:r>
              <w:fldChar w:fldCharType="begin"/>
            </w:r>
            <w:r>
              <w:instrText xml:space="preserve"> HYPERLINK "http://creativecommons.org/licenses/by/4.0/" \h </w:instrText>
            </w:r>
            <w:r>
              <w:fldChar w:fldCharType="separate"/>
            </w:r>
            <w:r>
              <w:rPr>
                <w:rFonts w:ascii="Times New Roman" w:hAnsi="Times New Roman" w:eastAsia="Times New Roman" w:cs="Times New Roman"/>
                <w:color w:val="0000FF"/>
                <w:sz w:val="18"/>
                <w:szCs w:val="18"/>
                <w:highlight w:val="white"/>
                <w:u w:val="single"/>
              </w:rPr>
              <w:t>Creative Commons Attribution 4.0 International License</w:t>
            </w:r>
            <w:r>
              <w:rPr>
                <w:rFonts w:ascii="Times New Roman" w:hAnsi="Times New Roman" w:eastAsia="Times New Roman" w:cs="Times New Roman"/>
                <w:color w:val="0000FF"/>
                <w:sz w:val="18"/>
                <w:szCs w:val="18"/>
                <w:highlight w:val="white"/>
                <w:u w:val="single"/>
              </w:rPr>
              <w:fldChar w:fldCharType="end"/>
            </w:r>
          </w:p>
          <w:p w14:paraId="502562D6">
            <w:pPr>
              <w:spacing w:after="0" w:line="240" w:lineRule="auto"/>
              <w:ind w:left="-108"/>
              <w:rPr>
                <w:rFonts w:ascii="Cambria" w:hAnsi="Cambria" w:eastAsia="Cambria" w:cs="Cambria"/>
                <w:i/>
                <w:iCs/>
                <w:sz w:val="20"/>
                <w:szCs w:val="20"/>
              </w:rPr>
            </w:pPr>
          </w:p>
          <w:p w14:paraId="78897305">
            <w:pPr>
              <w:spacing w:after="0" w:line="240" w:lineRule="auto"/>
              <w:rPr>
                <w:rFonts w:ascii="Cambria" w:hAnsi="Cambria" w:eastAsia="Cambria" w:cs="Cambria"/>
                <w:i/>
                <w:sz w:val="20"/>
                <w:szCs w:val="20"/>
              </w:rPr>
            </w:pPr>
          </w:p>
        </w:tc>
      </w:tr>
    </w:tbl>
    <w:p w14:paraId="61312CA0">
      <w:pPr>
        <w:tabs>
          <w:tab w:val="left" w:pos="3119"/>
        </w:tabs>
        <w:spacing w:after="0" w:line="240" w:lineRule="auto"/>
        <w:jc w:val="center"/>
        <w:rPr>
          <w:rFonts w:ascii="Cambria" w:hAnsi="Cambria" w:eastAsia="Cambria" w:cs="Cambria"/>
          <w:color w:val="000000"/>
          <w:sz w:val="24"/>
          <w:szCs w:val="24"/>
        </w:rPr>
      </w:pPr>
    </w:p>
    <w:p w14:paraId="3689DDD4">
      <w:pPr>
        <w:spacing w:after="0" w:line="240" w:lineRule="auto"/>
        <w:rPr>
          <w:rFonts w:ascii="Cambria" w:hAnsi="Cambria" w:eastAsia="Cambria" w:cs="Cambria"/>
          <w:sz w:val="24"/>
          <w:szCs w:val="24"/>
        </w:rPr>
      </w:pPr>
      <w:r>
        <w:rPr>
          <w:rFonts w:ascii="Cambria" w:hAnsi="Cambria" w:eastAsia="Cambria" w:cs="Cambria"/>
          <w:b/>
          <w:sz w:val="24"/>
          <w:szCs w:val="24"/>
        </w:rPr>
        <w:t>Introduction</w:t>
      </w:r>
    </w:p>
    <w:p w14:paraId="620FD07A">
      <w:pPr>
        <w:spacing w:after="0" w:line="240" w:lineRule="auto"/>
        <w:ind w:firstLine="567"/>
        <w:jc w:val="both"/>
        <w:rPr>
          <w:rFonts w:ascii="Cambria" w:hAnsi="Cambria" w:eastAsia="Cambria" w:cs="Cambria"/>
          <w:sz w:val="24"/>
          <w:szCs w:val="24"/>
        </w:rPr>
      </w:pPr>
      <w:r>
        <w:rPr>
          <w:rFonts w:ascii="Cambria" w:hAnsi="Cambria" w:eastAsia="Cambria" w:cs="Cambria"/>
          <w:sz w:val="24"/>
          <w:szCs w:val="24"/>
        </w:rPr>
        <w:t>Mathematics plays a very important role in human life and is closely related to various aspects of daily life. As one of the fundamental branches of science, mathematics is not only used in the field of exact sciences, but also plays a role in various aspects of social sciences, economics, and technology.</w:t>
      </w:r>
      <w:bookmarkStart w:id="0" w:name="_Hlk192414713"/>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{"citationItems":[{"id":"ITEM-1","itemData":{"abstract":"This research was based on the background of the large number of Talang Padang PEMNU MTs students who had good mathematical skills but were unable to provide results for them. Efforts to address these challenges, researchers questioned intelligence, emotional intelligence, and mathematical communication of students. This type of research is quantitative research with data analysis techniques used are statistical analysis of linear regression methods. Data collection techniques used in this study were emotional intelligence questionnaires and tests of mathematical communication skills. The subjects in this study were all classes VII A and VII B MTs PEMNU Talang Padang. The independent variable (independent variable) and independent variable (dependent variable) in this study have been explicitly approved. This study resulted in a significant motivation for mathematical communication intelligence in VII grade students of Talang Padang PEMNU MTs. This can be seen from the regression coefficient Y =-1,814 + 0,385 x. This means that every increase in intelligence of students will increase the mathematical communication skills of 0.385. And if students' emotional intelligence is constant (zero), then the mathematical communication ability is-1.814.","author":[{"dropping-particle":"","family":"Rohmah","given":"Siti","non-dropping-particle":"","parse-names":false,"suffix":""},{"dropping-particle":"","family":"Rinaldi","given":"Achi","non-dropping-particle":"","parse-names":false,"suffix":""}],"container-title":"Seminar Nasional Matematika dan Pendidikan Matematika","id":"ITEM-1","issue":"1","issued":{"date-parts":[["2019"]]},"page":"199-210","title":"Analisis Kemampuan Komunikasi Matematis : Dampak Kecerdasan Emosional Pada Materi Operasi Hitung Aljabar","type":"article-journal","volume":"2"},"uris":["http://www.mendeley.com/documents/?uuid=5b47370d-0c9a-438b-8328-735246f20602"]}],"mendeley":{"formattedCitation":"(Rohmah &amp; Rinaldi, 2019)","plainTextFormattedCitation":"(Rohmah &amp; Rinaldi, 2019)","previouslyFormattedCitation":"(Rohmah &amp; Rinaldi, 2019)"},"properties":{"noteIndex":0},"schema":"https://github.com/citation-style-language/schema/raw/master/csl-citation.json"}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(Rohmah &amp; Rinaldi, 2019)</w:t>
      </w:r>
      <w:r>
        <w:rPr>
          <w:rFonts w:ascii="Cambria" w:hAnsi="Cambria" w:eastAsia="Cambria" w:cs="Cambria"/>
          <w:sz w:val="24"/>
          <w:szCs w:val="24"/>
        </w:rPr>
        <w:fldChar w:fldCharType="end"/>
      </w:r>
      <w:r>
        <w:rPr>
          <w:rFonts w:ascii="Cambria" w:hAnsi="Cambria" w:eastAsia="Cambria" w:cs="Cambria"/>
          <w:sz w:val="24"/>
          <w:szCs w:val="24"/>
        </w:rPr>
        <w:t>. Mathematics as a universal language, has the potential to develop logical and critical thinking skills needed in decision making in various fields. Therefore, good mathematical skills are very important to equip individuals with the skills needed in personal and professional life</w:t>
      </w:r>
      <w:bookmarkEnd w:id="0"/>
      <w:bookmarkStart w:id="1" w:name="_Hlk192414719"/>
      <w:r>
        <w:rPr>
          <w:rFonts w:hint="default" w:ascii="Cambria" w:hAnsi="Cambria" w:eastAsia="Cambria" w:cs="Cambria"/>
          <w:sz w:val="24"/>
          <w:szCs w:val="24"/>
          <w:lang w:val="en-US"/>
        </w:rPr>
        <w:t xml:space="preserve">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{"citationItems":[{"id":"ITEM-1","itemData":{"abstract":"penelitian ini bertujuan untuk menganalisis dan mendeskripsikan cara belajar matematika siswa kelas VII A SMP Budi Mulia tahun ajaran 2019/2020 di Kabupaten Karawang. Jenis penelitian ini adalah penelitian kualitatif. Subjek penelitian ini adalah siswa kelas VIII A SMP Budi Mulia yang terdiridari 33 siswa yang ditentukan dengan metode sampling jenuh. Teknik mengumpulkan data menggunakan angket. Hasil penelitian menunjukkan bahwa persentase rata-rata jawaban secara keseluruhan ada 40%. Dapat disimpilkan hamper setengah siswa mempunyai cara belajar yang baik pada pembelajaran matematika.","author":[{"dropping-particle":"","family":"Putri","given":"Indah Cahyani","non-dropping-particle":"","parse-names":false,"suffix":""},{"dropping-particle":"","family":"Roesdiana","given":"Lessa","non-dropping-particle":"","parse-names":false,"suffix":""}],"container-title":"Maju","id":"ITEM-1","issue":"1","issued":{"date-parts":[["2021"]]},"page":"125-132","title":"Analisis Cara Belajar Siswa Pada Pembelajaran Matematika","type":"article-journal","volume":"8"},"uris":["http://www.mendeley.com/documents/?uuid=79e3e0d8-7cde-41f9-a77b-7c2d040f9df8"]}],"mendeley":{"formattedCitation":"(Putri &amp; Roesdiana, 2021)","plainTextFormattedCitation":"(Putri &amp; Roesdiana, 2021)","previouslyFormattedCitation":"(Putri &amp; Roesdiana, 2021)"},"properties":{"noteIndex":0},"schema":"https://github.com/citation-style-language/schema/raw/master/csl-citation.json"}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(Putri &amp; Roesdiana, 2021)</w:t>
      </w:r>
      <w:r>
        <w:rPr>
          <w:rFonts w:ascii="Cambria" w:hAnsi="Cambria" w:eastAsia="Cambria" w:cs="Cambria"/>
          <w:sz w:val="24"/>
          <w:szCs w:val="24"/>
        </w:rPr>
        <w:fldChar w:fldCharType="end"/>
      </w:r>
      <w:r>
        <w:rPr>
          <w:rFonts w:ascii="Cambria" w:hAnsi="Cambria" w:eastAsia="Cambria" w:cs="Cambria"/>
          <w:sz w:val="24"/>
          <w:szCs w:val="24"/>
        </w:rPr>
        <w:t>.</w:t>
      </w:r>
    </w:p>
    <w:bookmarkEnd w:id="1"/>
    <w:p w14:paraId="13BDB695">
      <w:pPr>
        <w:spacing w:after="0" w:line="240" w:lineRule="auto"/>
        <w:ind w:firstLine="567"/>
        <w:jc w:val="both"/>
        <w:rPr>
          <w:rFonts w:ascii="Cambria" w:hAnsi="Cambria" w:eastAsia="Cambria" w:cs="Cambria"/>
          <w:sz w:val="24"/>
          <w:szCs w:val="24"/>
        </w:rPr>
      </w:pPr>
      <w:r>
        <w:rPr>
          <w:rFonts w:ascii="Cambria" w:hAnsi="Cambria" w:eastAsia="Cambria" w:cs="Cambria"/>
          <w:sz w:val="24"/>
          <w:szCs w:val="24"/>
        </w:rPr>
        <w:t>However, mathematics is often seen as a difficult and scary subject by most students. This is proven by the many students who have difficulty in learning this subject.</w:t>
      </w:r>
      <w:bookmarkStart w:id="2" w:name="_Hlk192414725"/>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{"citationItems":[{"id":"ITEM-1","itemData":{"author":[{"dropping-particle":"","family":"Yulia","given":"Putri","non-dropping-particle":"","parse-names":false,"suffix":""},{"dropping-particle":"","family":"Gunawan","given":"Rilla Gina","non-dropping-particle":"","parse-names":false,"suffix":""},{"dropping-particle":"","family":"Nasution","given":"Eline Yanty Putri","non-dropping-particle":"","parse-names":false,"suffix":""}],"container-title":"PYTHAGORAS: Jurnal Program Studi Pendidikan Matematika","id":"ITEM-1","issue":"1","issued":{"date-parts":[["2020"]]},"page":"55-62","title":"Pengaruh Model Pembelajaran Problem Based Learning (PBL) Terhadap Kemampuan Pemahaman Konsep Matematis Siswa","type":"article-journal","volume":"9"},"uris":["http://www.mendeley.com/documents/?uuid=9293478c-1862-4d1a-a825-999132167268"]}],"mendeley":{"formattedCitation":"(Yulia et al., 2020)","plainTextFormattedCitation":"(Yulia et al., 2020)","previouslyFormattedCitation":"(Yulia et al., 2020)"},"properties":{"noteIndex":0},"schema":"https://github.com/citation-style-language/schema/raw/master/csl-citation.json"}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(Yulia et al., 2020)</w:t>
      </w:r>
      <w:r>
        <w:rPr>
          <w:rFonts w:ascii="Cambria" w:hAnsi="Cambria" w:eastAsia="Cambria" w:cs="Cambria"/>
          <w:sz w:val="24"/>
          <w:szCs w:val="24"/>
        </w:rPr>
        <w:fldChar w:fldCharType="end"/>
      </w:r>
      <w:bookmarkEnd w:id="2"/>
      <w:r>
        <w:rPr>
          <w:rFonts w:ascii="Cambria" w:hAnsi="Cambria" w:eastAsia="Cambria" w:cs="Cambria"/>
          <w:sz w:val="24"/>
          <w:szCs w:val="24"/>
        </w:rPr>
        <w:t>. One of the main factors that causes students to have difficulty in learning mathematics is the low understanding of mathematical concepts that students have. Weak conceptual understanding causes students to tend to rely on memorization methods rather than deep understanding, which in turn hinders their ability to apply concepts in solving more complex mathematical problems.</w:t>
      </w:r>
      <w:bookmarkStart w:id="3" w:name="_Hlk192414732"/>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{"citationItems":[{"id":"ITEM-1","itemData":{"author":[{"dropping-particle":"","family":"Widiastuti","given":"Devina","non-dropping-particle":"","parse-names":false,"suffix":""}],"container-title":"Jurnal Inovasi Pendidikan Matematika","id":"ITEM-1","issue":"3","issued":{"date-parts":[["2023"]]},"page":"159-172","title":"Pemanfaatan Alat Peraga Dalam Pembelajaran Bilangan Bulat Untuk Meningkatkan Pemahaman Konsep Matematis Siswa","type":"article-journal","volume":"7"},"uris":["http://www.mendeley.com/documents/?uuid=291b72fa-58e5-4a08-9ab0-929b96a959b5"]}],"mendeley":{"formattedCitation":"(Widiastuti, 2023)","plainTextFormattedCitation":"(Widiastuti, 2023)","previouslyFormattedCitation":"(Widiastuti, 2023)"},"properties":{"noteIndex":0},"schema":"https://github.com/citation-style-language/schema/raw/master/csl-citation.json"}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(Widiastuti, 2023)</w:t>
      </w:r>
      <w:r>
        <w:rPr>
          <w:rFonts w:ascii="Cambria" w:hAnsi="Cambria" w:eastAsia="Cambria" w:cs="Cambria"/>
          <w:sz w:val="24"/>
          <w:szCs w:val="24"/>
        </w:rPr>
        <w:fldChar w:fldCharType="end"/>
      </w:r>
      <w:bookmarkEnd w:id="3"/>
      <w:r>
        <w:rPr>
          <w:rFonts w:ascii="Cambria" w:hAnsi="Cambria" w:eastAsia="Cambria" w:cs="Cambria"/>
          <w:sz w:val="24"/>
          <w:szCs w:val="24"/>
        </w:rPr>
        <w:t>.</w:t>
      </w:r>
    </w:p>
    <w:p w14:paraId="701238EF">
      <w:pPr>
        <w:spacing w:after="0" w:line="240" w:lineRule="auto"/>
        <w:ind w:firstLine="567"/>
        <w:jc w:val="both"/>
        <w:rPr>
          <w:rFonts w:ascii="Cambria" w:hAnsi="Cambria" w:eastAsia="Cambria" w:cs="Cambria"/>
          <w:sz w:val="24"/>
          <w:szCs w:val="24"/>
        </w:rPr>
      </w:pPr>
      <w:r>
        <w:rPr>
          <w:rFonts w:ascii="Cambria" w:hAnsi="Cambria" w:eastAsia="Cambria" w:cs="Cambria"/>
          <w:sz w:val="24"/>
          <w:szCs w:val="24"/>
        </w:rPr>
        <w:t>Understanding mathematical concepts plays an important role in determining the success of students' mathematics learning. According to the NCTM (National Council of Teachers of Mathematics), understanding mathematical concepts is a fundamental aspect in the principles of effective mathematics learning.</w:t>
      </w:r>
      <w:bookmarkStart w:id="4" w:name="_Hlk192414740"/>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{"citationItems":[{"id":"ITEM-1","itemData":{"DOI":"10.22460/jpmi.v4i1.215-224","abstract":"The purpose of this article is to describe student’s mathematical understanding concept abilities based on concentration of learning. This research uses a qualitative approach with descriptive methods. The subjects of this study were students of class VIII at one of junior high schools in Karawang and then choose 3 people based on considerations made by researchers through purposive sampling and through the levels concentration of learning, namely high, medium, and low. Data collection techniques in this study used a mathematical understanding concept abilities test, and concentration of learning questionnaires. The results of the study based on the analysis that has been done show that: students in the category of high learning concentration can fulfillall indicators of the ability understanding mathematical concepts, students in the category of middle learning concentration can fulfill 2 indicators of the ability understanding mathematical concepts, and students in the category of low learning concentration can fulfill 1 indicator of the ability understanding mathematical concepts.","author":[{"dropping-particle":"","family":"Cahani","given":"Khoirunnisa","non-dropping-particle":"","parse-names":false,"suffix":""},{"dropping-particle":"","family":"Effendi","given":"Kiki Nia Sania","non-dropping-particle":"","parse-names":false,"suffix":""},{"dropping-particle":"","family":"Munandar","given":"Dadang Rahman","non-dropping-particle":"","parse-names":false,"suffix":""}],"container-title":"Pembelajaran Matematika Inovatif","id":"ITEM-1","issue":"1","issued":{"date-parts":[["2021"]]},"page":"215-224","title":"Kemampuan Pemahaman Konsep Matematika Siswa Ditinjau Dari Konsentrasi Belajar Pada Materi Statistika Dasar","type":"article-journal","volume":"4"},"uris":["http://www.mendeley.com/documents/?uuid=fe5365d5-a5fb-425c-a482-69a27bf79d7f"]}],"mendeley":{"formattedCitation":"(Cahani et al., 2021)","plainTextFormattedCitation":"(Cahani et al., 2021)","previouslyFormattedCitation":"(Cahani et al., 2021)"},"properties":{"noteIndex":0},"schema":"https://github.com/citation-style-language/schema/raw/master/csl-citation.json"}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(Cahani et al., 2021)</w:t>
      </w:r>
      <w:r>
        <w:rPr>
          <w:rFonts w:ascii="Cambria" w:hAnsi="Cambria" w:eastAsia="Cambria" w:cs="Cambria"/>
          <w:sz w:val="24"/>
          <w:szCs w:val="24"/>
        </w:rPr>
        <w:fldChar w:fldCharType="end"/>
      </w:r>
      <w:r>
        <w:rPr>
          <w:rFonts w:ascii="Cambria" w:hAnsi="Cambria" w:eastAsia="Cambria" w:cs="Cambria"/>
          <w:sz w:val="24"/>
          <w:szCs w:val="24"/>
        </w:rPr>
        <w:t>. This ability covers five main aspects which include problem solving, reasoning and proof, mathematical connections, mathematical communication, and mathematical representation.</w:t>
      </w:r>
      <w:bookmarkEnd w:id="4"/>
      <w:bookmarkStart w:id="5" w:name="_Hlk192414747"/>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{"citationItems":[{"id":"ITEM-1","itemData":{"ISSN":"2655-1365","abstract":"This study aims to identify and analyze aspects of the communication skills of vocational students in the material system of two-variable linear equations. The samples taken in this study were 5 students from a population of 30 students with different abilities and were taken randomly at one of the West Bandung Vocational Schools, namely class X Computer Engineering Network 2 SMK BINA INSAN BANGSA. The type of research used is qualitative descriptive. The research instrument is a test question of mathematical communication skills in the form of 4 items essays and interviews. Test results that have been carried out on several mathematical communication questions still show results below the average. It can be seen from the percentage of scores per item, namely the question no.1, obtained a percentage of 60% for indicators in explaining ideas, situations orally or in writing with real objects, graphic images, and algebra. Problem no.2 with the acquisition of 35% percentage for indicators to solve problems with the rules used. Question number 3 with the acquisition of a 25% percentage for indicators expressing daily events in mathematical language. Problem no.4 obtained a percentage of 15% for indicators connecting graphs with mathematical ideas. Then it can be concluded that the level of communication skills of vocational students is still not good enough and is classified as low because there are two problem indicators in the low category ≤ 33%","author":[{"dropping-particle":"","family":"Novie Suci Rahmawati","given":"","non-dropping-particle":"","parse-names":false,"suffix":""},{"dropping-particle":"","family":"Martin Bernard","given":"","non-dropping-particle":"","parse-names":false,"suffix":""},{"dropping-particle":"","family":"Padillah Akbar","given":"","non-dropping-particle":"","parse-names":false,"suffix":""}],"container-title":"Journal On Education","id":"ITEM-1","issue":"2","issued":{"date-parts":[["2019"]]},"page":"344-352","title":"Analisis Kemampuan Komunikasi Matematik Siswa Smk Pada Materi Sistem Persamaan Linier Dua Variabel (SPLDV)","type":"article-journal","volume":"1"},"uris":["http://www.mendeley.com/documents/?uuid=9f6c300b-1278-4bcd-910b-9e71844d00e7"]}],"mendeley":{"formattedCitation":"(Novie Suci Rahmawati et al., 2019)","plainTextFormattedCitation":"(Novie Suci Rahmawati et al., 2019)","previouslyFormattedCitation":"(Novie Suci Rahmawati et al., 2019)"},"properties":{"noteIndex":0},"schema":"https://github.com/citation-style-language/schema/raw/master/csl-citation.json"}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(Rahmawati et al., 2019)</w:t>
      </w:r>
      <w:r>
        <w:rPr>
          <w:rFonts w:ascii="Cambria" w:hAnsi="Cambria" w:eastAsia="Cambria" w:cs="Cambria"/>
          <w:sz w:val="24"/>
          <w:szCs w:val="24"/>
        </w:rPr>
        <w:fldChar w:fldCharType="end"/>
      </w:r>
      <w:r>
        <w:rPr>
          <w:rFonts w:ascii="Cambria" w:hAnsi="Cambria" w:eastAsia="Cambria" w:cs="Cambria"/>
          <w:sz w:val="24"/>
          <w:szCs w:val="24"/>
        </w:rPr>
        <w:t>. These five abilities develop well if students have a strong understanding of basic mathematical concepts. Therefore, understanding mathematical concepts is a foundation that must be instilled early on, especially at the elementary and secondary education levels, so that students can develop well in solving more complex mathematical problems in the future.</w:t>
      </w:r>
      <w:bookmarkEnd w:id="5"/>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{"citationItems":[{"id":"ITEM-1","itemData":{"DOI":"10.25105/bhuwana.v1i2.12536","abstract":"Tidal flood due to sea level rise often occurs in the Rukun Warga (local community unit) 5 Utara, Wonokerto Kulon located in costal area of Pekalongan Regency. The risk of tidal flooding is influenced by the physical vulnerability of the area. With the purpose to reduce the risk, it is necessary to carry out mitigation efforts by improving the physical conditions. This study aims to provide recommendation for mitigation efforts suitable for the area based on the levels of risk and physical vulnerability. To achieve the aim, the study identifies the level of hazard, the level of physical vulnerability and the level of risk by using Arc GIS spatial analysis and scoring techniques. The results show that around 44.38% of the area is classified as high-level tidal flood’s hazard. The level of hazards is identified based on height, frequency, and type of inundation. The physical vulnerability of this area is classified as in medium to high-level. The level of vulnerability is classified based on measured by the physical conditions which are buildings density, flooded road network, proximity to sea and rivers and land use. Based on the level of hazard and vulnerability, the tidal flood’s risk of the area is classified as in medium to high level. Recommended mitigation efforts to reduce the risk are conducting coastal zoning regulations, coastal preservation, mangrove conservation, development with adaptive spatial structure, coastal resettlement, and pond retention programs.","author":[{"dropping-particle":"","family":"Siregar","given":"Nur Faris","non-dropping-particle":"","parse-names":false,"suffix":""}],"container-title":"Jurnal Cendekia: Jurnal Pendidikan Matematika","id":"ITEM-1","issue":"2","issued":{"date-parts":[["2021"]]},"page":"1919-1927","title":"Pemahaman Konsep Matematika Siswa SMP Melalui Pendekatan Realistic Mathematics Education","type":"article-journal","volume":"5"},"uris":["http://www.mendeley.com/documents/?uuid=9cad2d85-7237-4a13-b65a-7a6d6921a104"]}],"mendeley":{"formattedCitation":"(N. F. Siregar, 2021)","plainTextFormattedCitation":"(N. F. Siregar, 2021)","previouslyFormattedCitation":"(N. F. Siregar, 2021)"},"properties":{"noteIndex":0},"schema":"https://github.com/citation-style-language/schema/raw/master/csl-citation.json"}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(Siregar, 2021)</w:t>
      </w:r>
      <w:r>
        <w:rPr>
          <w:rFonts w:ascii="Cambria" w:hAnsi="Cambria" w:eastAsia="Cambria" w:cs="Cambria"/>
          <w:sz w:val="24"/>
          <w:szCs w:val="24"/>
        </w:rPr>
        <w:fldChar w:fldCharType="end"/>
      </w:r>
      <w:r>
        <w:rPr>
          <w:rFonts w:ascii="Cambria" w:hAnsi="Cambria" w:eastAsia="Cambria" w:cs="Cambria"/>
          <w:sz w:val="24"/>
          <w:szCs w:val="24"/>
        </w:rPr>
        <w:t>.</w:t>
      </w:r>
    </w:p>
    <w:p w14:paraId="061F1B9E">
      <w:pPr>
        <w:tabs>
          <w:tab w:val="left" w:pos="709"/>
          <w:tab w:val="left" w:pos="1701"/>
        </w:tabs>
        <w:spacing w:after="0" w:line="240" w:lineRule="auto"/>
        <w:ind w:firstLine="567"/>
        <w:jc w:val="both"/>
        <w:rPr>
          <w:rFonts w:ascii="Cambria" w:hAnsi="Cambria" w:eastAsia="Cambria" w:cs="Cambria"/>
          <w:sz w:val="24"/>
          <w:szCs w:val="24"/>
        </w:rPr>
      </w:pPr>
      <w:r>
        <w:rPr>
          <w:rFonts w:ascii="Cambria" w:hAnsi="Cambria" w:eastAsia="Cambria" w:cs="Cambria"/>
          <w:sz w:val="24"/>
          <w:szCs w:val="24"/>
        </w:rPr>
        <w:t>A good understanding of mathematical concepts gives students the ability to solve mathematical problems more effectively and efficiently. Conversely, the inability to understand basic concepts can cause students to have difficulty in connecting existing knowledge with new material, which ultimately hinders the development of their mathematical skills.</w:t>
      </w:r>
      <w:bookmarkStart w:id="6" w:name="_Hlk192414767"/>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{"citationItems":[{"id":"ITEM-1","itemData":{"DOI":"10.33650/trilogi.v4i3.6217","ISSN":"2774-4574","abstract":"Stres adalah suatu kedaan reaksi psikis dan fisik kepada setiap tuntutan yang menyebabkan ketegangan dan menggangu stabilitas masyarakat dalam kehidupan sehari-hari. Stres berhubungan dengan suatu kenyataan yang tidak dikehendaki atau tidak sesuai dengan harapan dan situasi yang menekan. Beberap faktor penyebab stres, diantaranya : lingkuang, trauma, perkembangan, penyakit fisik atau cedera, faktor keluarga dan pekerjaan. Lingkuangan biasanya kondisi suatu wilayah yang tidak menyenangkan contohnya bencana alam. Banjir rob juga termasuk dari bencana alam. seperti halnya yang dialami masyarkat pesisir Kalibuntu yang saban bulannya terendam banjir rob. Masyarakat perlu menyikapinya dengan respon yang positif sehingga tidak terjadi stres. Tujuan dari penelitian ini adalah Untul Mengetahui hubungan sikap dengan banjir rob terhadap stres pada lansia di Desa Pesisir Kalibuntu Kecamatan Kraksaan Kabupaten Probolinggo. Penelitian ini merupakan penelitian kuantitatif dengan pendekatan cross sectional dengan pemilihan sample menggunakan total sampling sebanyak 50 responden. Menggunakan uji rank spearmen. Hasil penelitian sikap masyarakat kalibuntu dalam menghadapi banjir rob : Corelation coefficient 1000, Sig (2-tailed) 000, sedangkan stres : 722, Sig (2-tailed) 000. Kesimpulannya Terdapat hubungan antara sikap ketika menghadapi banjir rob dengan stres pada lansia di Pesisir Desa Kalibuntu, Kecamatan Kraksaan, Kabupaten Probolinggo.","author":[{"dropping-particle":"","family":"Nilasari","given":"Dewi","non-dropping-particle":"","parse-names":false,"suffix":""}],"container-title":"SESIOMADIKA (Posiding Seminar Nasional Matematika Dan Pendidikan Matematika)","id":"ITEM-1","issue":"3","issued":{"date-parts":[["2019"]]},"page":"673-679","title":"Analisis kemampuan pemahaman konsep matematis melalui penyelesaian soal matematika persamaan kuadrat pada kelas X SMA Negeri 1 Pebayuran.","type":"article-journal","volume":"4"},"uris":["http://www.mendeley.com/documents/?uuid=68bcc5f9-a635-46fc-9238-1f5a0d92f882"]}],"mendeley":{"formattedCitation":"(Nilasari, 2019)","plainTextFormattedCitation":"(Nilasari, 2019)","previouslyFormattedCitation":"(Nilasari, 2019)"},"properties":{"noteIndex":0},"schema":"https://github.com/citation-style-language/schema/raw/master/csl-citation.json"}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(Nilasari, 2019)</w:t>
      </w:r>
      <w:r>
        <w:rPr>
          <w:rFonts w:ascii="Cambria" w:hAnsi="Cambria" w:eastAsia="Cambria" w:cs="Cambria"/>
          <w:sz w:val="24"/>
          <w:szCs w:val="24"/>
        </w:rPr>
        <w:fldChar w:fldCharType="end"/>
      </w:r>
      <w:r>
        <w:rPr>
          <w:rFonts w:ascii="Cambria" w:hAnsi="Cambria" w:eastAsia="Cambria" w:cs="Cambria"/>
          <w:sz w:val="24"/>
          <w:szCs w:val="24"/>
        </w:rPr>
        <w:t>. Students are said to understand a concept if they can interpret the concept, recognize and provide examples of the concept. By applying the ability to understand the concept, students are expected to be able to interpret various interrelated mathematical ideas, so that a comprehensive understanding is created.</w:t>
      </w:r>
      <w:bookmarkEnd w:id="6"/>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{"citationItems":[{"id":"ITEM-1","itemData":{"ISSN":"2614-3038","abstract":"This research is based on the importance of understanding concepts in learning mathematics. Through understanding mathematical concepts will make it easier for students to understand mathematics lessons. The benefit of this research is to determine the students' conceptual understanding ability. Students need to be equipped with conceptual understanding as a basic ability to achieve other abilities. In general, questions on opportunity materials are often in the form of story questions that require students' ability to understand the concept before working on it. The questions given always have different problems in each question. So it is necessary to understand the concept in advance to determine the solution to the problem. The research method is descriptive quantitative. The research subjects were 28 students of SMP Negeri 2 Sabak Auh, Siak Regency. The data collection technique is in the form of students' understanding ability test questions. Through the elaboration of each indicator of concept understanding, the level of concept understanding ability on the material of opportunity is very good. The results of descriptive analysis through the table of average acquisition with a percentage of 70.22% in the high category, it can be said that students have a fairly good level of understanding of concepts. The data obtained from the elaboration of each indicator contained only one indicator with low criteria, while the others were categorized as moderate, high and very high. A very high indicator is the second indicator of students' ability to identify examples and non-examples with an average percentage of 86.92%. The conclusion of this study as a whole has met the average of the indicators of concept understanding with high categorization.","author":[{"dropping-particle":"","family":"Setiani","given":"Nining","non-dropping-particle":"","parse-names":false,"suffix":""},{"dropping-particle":"","family":"Roza","given":"Yenita","non-dropping-particle":"","parse-names":false,"suffix":""},{"dropping-particle":"","family":"Maimumah","given":"","non-dropping-particle":"","parse-names":false,"suffix":""}],"container-title":"Jurnal Cendekia: Jurnal Pendidikan Matematika","id":"ITEM-1","issue":"02","issued":{"date-parts":[["2022"]]},"page":"2286-2297","title":"Analisis Kemampuan Siswa Dalam Pemahaman Konsep Matematis Materi Peluang Pada Siswa SMP","type":"article-journal","volume":"06"},"uris":["http://www.mendeley.com/documents/?uuid=42f3632b-e0cd-4aec-be30-610e81598195"]}],"mendeley":{"formattedCitation":"(Setiani et al., 2022)","plainTextFormattedCitation":"(Setiani et al., 2022)","previouslyFormattedCitation":"(Setiani et al., 2022)"},"properties":{"noteIndex":0},"schema":"https://github.com/citation-style-language/schema/raw/master/csl-citation.json"}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(Setiani et al., 2022)</w:t>
      </w:r>
      <w:r>
        <w:rPr>
          <w:rFonts w:ascii="Cambria" w:hAnsi="Cambria" w:eastAsia="Cambria" w:cs="Cambria"/>
          <w:sz w:val="24"/>
          <w:szCs w:val="24"/>
        </w:rPr>
        <w:fldChar w:fldCharType="end"/>
      </w:r>
      <w:r>
        <w:rPr>
          <w:rFonts w:ascii="Cambria" w:hAnsi="Cambria" w:eastAsia="Cambria" w:cs="Cambria"/>
          <w:sz w:val="24"/>
          <w:szCs w:val="24"/>
        </w:rPr>
        <w:t>. The ability to understand mathematical concepts also requires students to recall the concepts they have learned.</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{"citationItems":[{"id":"ITEM-1","itemData":{"DOI":"10.21067/pmej.v2i1.2838","ISSN":"2597-5161","abstract":"Penelitian ini dilatarbelakangi oleh rendahnya kemampuan pemahman konsep matematis siswa terlihat pada gejala berikut, yaitu siswa kesulitan dalam menyelesaikan soal-soal matematika yang sedikit berbeda dari contoh yang diberikan dan siswa kesulitan menerapkan konsep dalam soal cerita. Penelitian ini bertujuan mengetahui kemampuan pemahaman konsep matematis siswa pada materi kubus dan balok. Metodologi yang digunakan yaitu metode penelitian deskriptif kualitatif. Subjek dalam penelitian ini berjumlah 30 orang siswa SMPN 3 Rambah Samo. Teknik pengumpulan data yang digunakan meliputi: (1) tes kemampuan pemahaman konsep matematis; (2) observasi;(3) Wawancara (4) dokumentasi. Hasil penelitian dari kemampuan pemahaman konsep matematis siswa menunjukkan 82,9%. Dari hasil penelitian ini dapat memberikan informasi kepada guru tentang kemampuan pemahaman konsep matematis siswa sehingga guru diharapkan dapat merancang kegiatan pembelajaran yang dapat meningkatkan kemampuan pemahaman matematis siswa pada indikator memberikan contoh dan non contoh dari konsep serta indikator menggunakan, memanfaatkan, dan memilih prosedur tertentu.","author":[{"dropping-particle":"","family":"Sulasih","given":"","non-dropping-particle":"","parse-names":false,"suffix":""},{"dropping-particle":"","family":"Firmansyah","given":"Dani","non-dropping-particle":"","parse-names":false,"suffix":""}],"container-title":"Journal MAthematics education Sigma","id":"ITEM-1","issue":"1","issued":{"date-parts":[["2025"]]},"page":"14-25","title":"Analisis Kemampuan Pemahaman Konsep Matematis Siswa Smp Pada Materi Kubus Dan Balok","type":"article-journal","volume":"6"},"uris":["http://www.mendeley.com/documents/?uuid=5dd5bfc5-9c62-4095-8cec-5b289111868c"]}],"mendeley":{"formattedCitation":"(Sulasih &amp; Firmansyah, 2025)","plainTextFormattedCitation":"(Sulasih &amp; Firmansyah, 2025)","previouslyFormattedCitation":"(Sulasih &amp; Firmansyah, 2025)"},"properties":{"noteIndex":0},"schema":"https://github.com/citation-style-language/schema/raw/master/csl-citation.json"}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(Sulasih &amp; Firmansyah, 2025)</w:t>
      </w:r>
      <w:r>
        <w:rPr>
          <w:rFonts w:ascii="Cambria" w:hAnsi="Cambria" w:eastAsia="Cambria" w:cs="Cambria"/>
          <w:sz w:val="24"/>
          <w:szCs w:val="24"/>
        </w:rPr>
        <w:fldChar w:fldCharType="end"/>
      </w:r>
      <w:r>
        <w:rPr>
          <w:rFonts w:ascii="Cambria" w:hAnsi="Cambria" w:eastAsia="Cambria" w:cs="Cambria"/>
          <w:sz w:val="24"/>
          <w:szCs w:val="24"/>
        </w:rPr>
        <w:t>. This is very visible in mathematics learning in junior high school classes, where many students only memorize formulas or procedures without understanding the basic concepts behind them</w:t>
      </w:r>
      <w:r>
        <w:rPr>
          <w:rFonts w:hint="default" w:ascii="Cambria" w:hAnsi="Cambria" w:eastAsia="Cambria" w:cs="Cambria"/>
          <w:sz w:val="24"/>
          <w:szCs w:val="24"/>
          <w:lang w:val="en-US"/>
        </w:rPr>
        <w:t xml:space="preserve">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{"citationItems":[{"id":"ITEM-1","itemData":{"abstract":"Di Indonesia, banyak ditemukan pelajar yang setelah lulus dari SMA atau sederajat melanjutkan sekolah di luar kota, bahkan ada yang di luar provinsi atau juga pulau. Pilihan untuk melanjutkan studi di luar daerah berdasarkan beberapa alasan, antara lain karena fakultas atau jurusan yang diinginkan sesuai dengan minat dan bakat yang tidak terdapat di daerah asal, atau pun karena beasiswa yang diterima mengharuskan untuk melanjutkan studi di universitas yang ditentukan oleh penyedia beasiswa. Indekos sendiri memiliki fungsi utama, yaitu sebagai rumah sementara, tempat belajar, dan tempat beristirahat, namun dari data yang ditemukan banyak kasus mahasiswa melakukan pindahan indekos selama mereka menjadi perantau karena berbagai alasan. Tujuan dari penelitian ini untuk membantu penyewa dan pemilik indekos memahami proses serta faktor pemilihan indekos di daerah seikitar UMS, dari penelitian ini diharapkan para perantau yang ingin menyewa indekos akan lebih memahami keinginan mereka dan pemilik indekos juga memahami faktor-faktor yang mempengaruhi agar indekos mereka diminati. Penelitian ini menggunakan metode penelitian kualitatif deskriptif. Informan dalam penelitian ini berjumlah 10 orang dengan kriteria : (a) Mahasiswa Universitas Muhammadiyah Surakarta minimal angkatan tahun 2016, (b) Tinggal di indekos berdomisili Solo. Metode pengumpulan data yang digunakan pada penelitian ini adalah wawancara. Data dianalisis secara tematik. Berdasarkan hasil penelitian, diketahui proses pengambilan keputusan indekos yaitu, mencari pilihan indekos, mengevaluasi semua pilihan yang ada lalu memilih pilihan dan merencanakan pilihan yang diambil, sedangkan untuk pengambilan keputusan mahasiswa dalam memilih indekos dipengaruhi oleh beberapa faktor, dan peneliti mengurutkan faktor tersebut menjadi empat urutan yaitu, kenyamanan, fasilitas, harga, dan jarak. Pada penelitian selanjutnya bisa digunakan teknik purposive sampling, agar data yang didapat lebih merata terkait proses pengambilan keputusan dan faktor yang mempengaruhi, lalu bisa juga difokuskan","author":[{"dropping-particle":"","family":"Kartikasari","given":"Respina","non-dropping-particle":"","parse-names":false,"suffix":""}],"container-title":"Skripsi UNIVERSITAS MUHAMMADIYAH SURAKARTA","id":"ITEM-1","issue":"1","issued":{"date-parts":[["2017"]]},"page":"92-105","title":"Analisis Kesulitan Siswa Dalam Menyelesaikan Soal Cerita Matematika Pada Siswa SMP","type":"article-journal","volume":"11"},"uris":["http://www.mendeley.com/documents/?uuid=7d85a5bf-9a9e-4635-9f01-dcbf7d4f3858"]}],"mendeley":{"formattedCitation":"(Kartikasari, 2017)","plainTextFormattedCitation":"(Kartikasari, 2017)","previouslyFormattedCitation":"(Kartikasari, 2017)"},"properties":{"noteIndex":0},"schema":"https://github.com/citation-style-language/schema/raw/master/csl-citation.json"}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(Kartikasari, 2017)</w:t>
      </w:r>
      <w:r>
        <w:rPr>
          <w:rFonts w:ascii="Cambria" w:hAnsi="Cambria" w:eastAsia="Cambria" w:cs="Cambria"/>
          <w:sz w:val="24"/>
          <w:szCs w:val="24"/>
        </w:rPr>
        <w:fldChar w:fldCharType="end"/>
      </w:r>
      <w:r>
        <w:rPr>
          <w:rFonts w:ascii="Cambria" w:hAnsi="Cambria" w:eastAsia="Cambria" w:cs="Cambria"/>
          <w:sz w:val="24"/>
          <w:szCs w:val="24"/>
        </w:rPr>
        <w:t>. As a result, students have difficulty in applying the formulas or procedures they have learned in more complex or contextual situations.</w:t>
      </w:r>
    </w:p>
    <w:p w14:paraId="72733A5D">
      <w:pPr>
        <w:tabs>
          <w:tab w:val="left" w:pos="851"/>
        </w:tabs>
        <w:spacing w:after="0" w:line="240" w:lineRule="auto"/>
        <w:ind w:firstLine="567"/>
        <w:jc w:val="both"/>
        <w:rPr>
          <w:rFonts w:ascii="Cambria" w:hAnsi="Cambria" w:eastAsia="Cambria" w:cs="Cambria"/>
          <w:sz w:val="24"/>
          <w:szCs w:val="24"/>
        </w:rPr>
      </w:pPr>
      <w:r>
        <w:rPr>
          <w:rFonts w:ascii="Cambria" w:hAnsi="Cambria" w:eastAsia="Cambria" w:cs="Cambria"/>
          <w:sz w:val="24"/>
          <w:szCs w:val="24"/>
        </w:rPr>
        <w:t>Questions that involve conceptual understanding need to be given considering that routine questions do not provide students with enough opportunities to develop their mathematical conceptual understanding abilities.</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{"citationItems":[{"id":"ITEM-1","itemData":{"author":[{"dropping-particle":"","family":"Latumapina","given":"Marla","non-dropping-particle":"","parse-names":false,"suffix":""},{"dropping-particle":"","family":"Laamena","given":"Christina M","non-dropping-particle":"","parse-names":false,"suffix":""},{"dropping-particle":"","family":"Ayal","given":"Carolina Selfisina","non-dropping-particle":"","parse-names":false,"suffix":""}],"container-title":"Jurnal Pendidikan Matematika Unpatti","id":"ITEM-1","issue":"1","issued":{"date-parts":[["2024"]]},"page":"57-68","title":"Siswa Smp Kelas Vii Pada Materi Himpunan","type":"article-journal","volume":"5"},"uris":["http://www.mendeley.com/documents/?uuid=dbe5b25c-5ece-4d8c-9925-79685adecc19"]}],"mendeley":{"formattedCitation":"(Latumapina et al., 2024)","plainTextFormattedCitation":"(Latumapina et al., 2024)","previouslyFormattedCitation":"(Latumapina et al., 2024)"},"properties":{"noteIndex":0},"schema":"https://github.com/citation-style-language/schema/raw/master/csl-citation.json"}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(Latumapina et al., 2024)</w:t>
      </w:r>
      <w:r>
        <w:rPr>
          <w:rFonts w:ascii="Cambria" w:hAnsi="Cambria" w:eastAsia="Cambria" w:cs="Cambria"/>
          <w:sz w:val="24"/>
          <w:szCs w:val="24"/>
        </w:rPr>
        <w:fldChar w:fldCharType="end"/>
      </w:r>
      <w:r>
        <w:rPr>
          <w:rFonts w:ascii="Cambria" w:hAnsi="Cambria" w:eastAsia="Cambria" w:cs="Cambria"/>
          <w:sz w:val="24"/>
          <w:szCs w:val="24"/>
        </w:rPr>
        <w:t>. One of the basic materials that is very important for students to master is the material on integers. Integers are one of the basic concepts that are often found in various mathematical topics, such as arithmetic operations, algebra, and geometry, and are very closely related to everyday life, such as in temperature calculations, economics, and physics.</w:t>
      </w:r>
      <w:r>
        <w:rPr>
          <w:rFonts w:hint="default" w:ascii="Cambria" w:hAnsi="Cambria" w:eastAsia="Cambria" w:cs="Cambria"/>
          <w:sz w:val="24"/>
          <w:szCs w:val="24"/>
          <w:lang w:val="en-US"/>
        </w:rPr>
        <w:t xml:space="preserve">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{"citationItems":[{"id":"ITEM-1","itemData":{"DOI":"10.53769/jai.v2i2.239","abstract":"Penelitian ini dilatarbelakangi oleh kurangnya penguasaan Materi Operasi Bilangan Bulat (Penjumlahan dan Pengurangan) bilangan negatif dan perkalian cepat bilangan bulat. Tujuan penelitian ini untuk membandingkan penguasaan materi operasi bilangan bulat siswa didesa dan dikota setelah diajarkan dengan Teknik Berhitung Cepat. Jenis penelitian yang digunakan adalah Eksperimen dengan prosedur pelaksanaan menggunakan desain factorial 2 x 2. Sampel yang diambil dalam penelitian ini adalah Kelas didesa yaitu siswa SMP Negeri 1 Kairatu Barat sedangkan kelas dikota yaitu siswa SMP Muhammadiyah Ambon. Sebelum diberikan perlakuan menggunakan Teknik Berhitung Cepat siswa diberikan Tes Kemampuan Awal dan setelahnya diberikan Tes Kemampuan Akhir. Hasil Tes kemampuan awal siswa di Kota lebih tinggi dibandingkan didesa masing-masing yaitu 45 dan 31,9 begitu pula dengan kemampuan Akhir yaitu 67,2 dan 50. Setelah diajarkan Teknik Berhitung cepat kedua kelas mengalami peningkatan.","author":[{"dropping-particle":"","family":"Ramadhani","given":"Widya Putri","non-dropping-particle":"","parse-names":false,"suffix":""}],"container-title":"Jurnal Abdimas Indonesia","id":"ITEM-1","issue":"2","issued":{"date-parts":[["2022"]]},"page":"216-222","title":"Perbedaan Penguasaan Materi Operasi Bilangan Bulat Siswa Smp Di Desa Dan Di Kota Menggunakan Teknik Berhitung Cepat","type":"article-journal","volume":"2"},"uris":["http://www.mendeley.com/documents/?uuid=76b472aa-9ca7-4747-b8a9-2397c16c844b"]}],"mendeley":{"formattedCitation":"(Ramadhani, 2022)","plainTextFormattedCitation":"(Ramadhani, 2022)","previouslyFormattedCitation":"(Ramadhani, 2022)"},"properties":{"noteIndex":0},"schema":"https://github.com/citation-style-language/schema/raw/master/csl-citation.json"}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(Ramadan, 2022)</w:t>
      </w:r>
      <w:r>
        <w:rPr>
          <w:rFonts w:ascii="Cambria" w:hAnsi="Cambria" w:eastAsia="Cambria" w:cs="Cambria"/>
          <w:sz w:val="24"/>
          <w:szCs w:val="24"/>
        </w:rPr>
        <w:fldChar w:fldCharType="end"/>
      </w:r>
      <w:r>
        <w:rPr>
          <w:rFonts w:ascii="Cambria" w:hAnsi="Cambria" w:eastAsia="Cambria" w:cs="Cambria"/>
          <w:sz w:val="24"/>
          <w:szCs w:val="24"/>
        </w:rPr>
        <w:t>. Therefore, a good mastery of integers is very important for students to be able to proceed to more complex mathematical materials. Unfortunately, although this material should be an important prerequisite, many students have difficulty in understanding the concept of integers, especially in carrying out addition, subtraction, multiplication, and division operations with negative numbers</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{"citationItems":[{"id":"ITEM-1","itemData":{"ISBN":"1920500022","author":[{"dropping-particle":"","family":"Siregar","given":"Tisam Nafisah","non-dropping-particle":"","parse-names":false,"suffix":""}],"container-title":"Skripsi Universitas Islam Negeri Syekh Ali Hasan Ahmad Addary","id":"ITEM-1","issue":"1","issued":{"date-parts":[["2023"]]},"page":"1-128","publisher-place":"Padang","title":"Pengaruh Media Puzzle Terhadap Pemahaman Konsep Siswa Pada Pembelajaran Matematika Di Kelas IV SD Negeri 100900 Gunung Tua Kecamatan Padang Bolak Kabupaten Padang Lawas Utara","type":"article-journal","volume":"3"},"uris":["http://www.mendeley.com/documents/?uuid=5e2ad50d-0078-4418-b046-ec03edab8d0c"]}],"mendeley":{"formattedCitation":"(T. N. Siregar, 2023)","plainTextFormattedCitation":"(T. N. Siregar, 2023)","previouslyFormattedCitation":"(T. N. Siregar, 2023)"},"properties":{"noteIndex":0},"schema":"https://github.com/citation-style-language/schema/raw/master/csl-citation.json"}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(Siregar, 2023)</w:t>
      </w:r>
      <w:r>
        <w:rPr>
          <w:rFonts w:ascii="Cambria" w:hAnsi="Cambria" w:eastAsia="Cambria" w:cs="Cambria"/>
          <w:sz w:val="24"/>
          <w:szCs w:val="24"/>
        </w:rPr>
        <w:fldChar w:fldCharType="end"/>
      </w:r>
      <w:r>
        <w:rPr>
          <w:rFonts w:ascii="Cambria" w:hAnsi="Cambria" w:eastAsia="Cambria" w:cs="Cambria"/>
          <w:sz w:val="24"/>
          <w:szCs w:val="24"/>
        </w:rPr>
        <w:t>.</w:t>
      </w:r>
    </w:p>
    <w:p w14:paraId="4992E3F1">
      <w:pPr>
        <w:tabs>
          <w:tab w:val="left" w:pos="851"/>
        </w:tabs>
        <w:spacing w:after="0" w:line="240" w:lineRule="auto"/>
        <w:ind w:firstLine="567"/>
        <w:jc w:val="both"/>
        <w:rPr>
          <w:rFonts w:ascii="Cambria" w:hAnsi="Cambria" w:eastAsia="Cambria" w:cs="Cambria"/>
          <w:sz w:val="24"/>
          <w:szCs w:val="24"/>
        </w:rPr>
      </w:pPr>
      <w:r>
        <w:rPr>
          <w:rFonts w:ascii="Cambria" w:hAnsi="Cambria" w:eastAsia="Cambria" w:cs="Cambria"/>
          <w:sz w:val="24"/>
          <w:szCs w:val="24"/>
        </w:rPr>
        <w:t>Students need the ability to understand concepts to make it easier to rearrange a concept with good mathematical understanding, so that it will stick in their memory more easily and enable them to apply the concept in solving mathematical problems.</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{"citationItems":[{"id":"ITEM-1","itemData":{"author":[{"dropping-particle":"","family":"Buyung","given":"","non-dropping-particle":"","parse-names":false,"suffix":""}],"container-title":"Journal of Mathematics Education and Science","id":"ITEM-1","issue":"1","issued":{"date-parts":[["2021"]]},"page":"29-34","title":"Analisis Profil Kemampuan Pemahaman Konsep","type":"article-journal","volume":"7"},"uris":["http://www.mendeley.com/documents/?uuid=16396cc6-6bde-4280-8fcd-d0e7c6451f90"]}],"mendeley":{"formattedCitation":"(Buyung, 2021)","plainTextFormattedCitation":"(Buyung, 2021)","previouslyFormattedCitation":"(Buyung, 2021)"},"properties":{"noteIndex":0},"schema":"https://github.com/citation-style-language/schema/raw/master/csl-citation.json"}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(Buyung, 2021)</w:t>
      </w:r>
      <w:r>
        <w:rPr>
          <w:rFonts w:ascii="Cambria" w:hAnsi="Cambria" w:eastAsia="Cambria" w:cs="Cambria"/>
          <w:sz w:val="24"/>
          <w:szCs w:val="24"/>
        </w:rPr>
        <w:fldChar w:fldCharType="end"/>
      </w:r>
      <w:r>
        <w:rPr>
          <w:rFonts w:ascii="Cambria" w:hAnsi="Cambria" w:eastAsia="Cambria" w:cs="Cambria"/>
          <w:sz w:val="24"/>
          <w:szCs w:val="24"/>
        </w:rPr>
        <w:t>. Several studies have shown that the difficulty in understanding integers is often caused by a weak understanding of the basic rules of integer operations, as well as a lack of skills in applying the concept in the context of more real problems. For example, in a study conducted by</w:t>
      </w:r>
      <w:r>
        <w:rPr>
          <w:rFonts w:hint="default" w:ascii="Cambria" w:hAnsi="Cambria" w:eastAsia="Cambria" w:cs="Cambria"/>
          <w:sz w:val="24"/>
          <w:szCs w:val="24"/>
          <w:lang w:val="en-US"/>
        </w:rPr>
        <w:t xml:space="preserve"> </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{"citationItems":[{"id":"ITEM-1","itemData":{"DOI":"10.22460/jpmi.v6i3.17077","ISSN":"2614-2155","abstract":"The purpose of this research is to describe students' ability to understand mathematical concepts in solving straight line equations. This study uses a qualitative approach with descriptive research methods. The selection of research subjects through analytical observation so that 3 out of a total of 20 students in class IX at one of the schools in Karawang Regency were obtained. Data collection techniques used in this study were tests, interviews, and observations. The results showed that students in the high category had fulfilled each indicator of the ability to understand mathematical concepts; students in the moderate category have been able to fulfill the indicators of presenting concepts in various forms of mathematical representations, indicators of developing necessary and sufficient conditions for a concept and indicators of applying concepts or problem-solving algorithms, but still not fulfilling other indicators; low category students have not been able to fulfill all indicators, especially on indicators of developing necessary and sufficient conditions for a concept and indicators of using, utilizing and selecting certain procedures or operations.","author":[{"dropping-particle":"","family":"Arumsari","given":"Wilda Pratiwi Aryadini","non-dropping-particle":"","parse-names":false,"suffix":""},{"dropping-particle":"","family":"Adirakasiwi","given":"","non-dropping-particle":"","parse-names":false,"suffix":""}],"container-title":"Jurnal Pembelajaran Matematika Inovatif ","id":"ITEM-1","issue":"3","issued":{"date-parts":[["2023"]]},"page":"1257-1268","title":"Kemampuan Pemahaman Konsep Matematis Siswa Dalam Menyelesaikan Soal Persamaan Garis Lurus","type":"article-journal","volume":"6"},"uris":["http://www.mendeley.com/documents/?uuid=cb5f7ad2-e779-4287-8d60-c79de1ecc0c0"]}],"mendeley":{"formattedCitation":"(Arumsari &amp; Adirakasiwi, 2023)","manualFormatting":"Arumsari &amp; Adirakasiwi (2023)","plainTextFormattedCitation":"(Arumsari &amp; Adirakasiwi, 2023)","previouslyFormattedCitation":"(Arumsari &amp; Adirakasiwi, 2023)"},"properties":{"noteIndex":0},"schema":"https://github.com/citation-style-language/schema/raw/master/csl-citation.json"}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The Last Supper (2023)</w:t>
      </w:r>
      <w:r>
        <w:rPr>
          <w:rFonts w:ascii="Cambria" w:hAnsi="Cambria" w:eastAsia="Cambria" w:cs="Cambria"/>
          <w:sz w:val="24"/>
          <w:szCs w:val="24"/>
        </w:rPr>
        <w:fldChar w:fldCharType="end"/>
      </w:r>
      <w:r>
        <w:rPr>
          <w:rFonts w:ascii="Cambria" w:hAnsi="Cambria" w:eastAsia="Cambria" w:cs="Cambria"/>
          <w:sz w:val="24"/>
          <w:szCs w:val="24"/>
        </w:rPr>
        <w:t xml:space="preserve">  It was found that most students in Karawang Regency had difficulty in working on problems involving integers. This was mainly due to students' low understanding in choosing and applying the right operating procedures, especially when dealing with negative numbers. The results of this study indicate that many students still rely on memorization methods rather than deep understanding of concepts. Therefore, there is a need to improve the approach to learning mathematics in order to help students understand basic concepts, including integers, more effectively.</w:t>
      </w:r>
      <w:r>
        <w:rPr>
          <w:rFonts w:ascii="Cambria" w:hAnsi="Cambria" w:eastAsia="Cambria" w:cs="Cambria"/>
          <w:sz w:val="24"/>
          <w:szCs w:val="24"/>
        </w:rPr>
        <w:fldChar w:fldCharType="begin" w:fldLock="1"/>
      </w:r>
      <w:r>
        <w:rPr>
          <w:rFonts w:ascii="Cambria" w:hAnsi="Cambria" w:eastAsia="Cambria" w:cs="Cambria"/>
          <w:sz w:val="24"/>
          <w:szCs w:val="24"/>
        </w:rPr>
        <w:instrText xml:space="preserve">ADDIN CSL_CITATION {"citationItems":[{"id":"ITEM-1","itemData":{"author":[{"dropping-particle":"","family":"Widiastuti","given":"Devina","non-dropping-particle":"","parse-names":false,"suffix":""}],"container-title":"Jurnal Inovasi Pendidikan Matematika","id":"ITEM-1","issue":"3","issued":{"date-parts":[["2023"]]},"page":"159-172","title":"Pemanfaatan Alat Peraga Dalam Pembelajaran Bilangan Bulat Untuk Meningkatkan Pemahaman Konsep Matematis Siswa","type":"article-journal","volume":"7"},"uris":["http://www.mendeley.com/documents/?uuid=291b72fa-58e5-4a08-9ab0-929b96a959b5"]}],"mendeley":{"formattedCitation":"(Widiastuti, 2023)","plainTextFormattedCitation":"(Widiastuti, 2023)","previouslyFormattedCitation":"(Widiastuti, 2023)"},"properties":{"noteIndex":0},"schema":"https://github.com/citation-style-language/schema/raw/master/csl-citation.json"}</w:instrText>
      </w:r>
      <w:r>
        <w:rPr>
          <w:rFonts w:ascii="Cambria" w:hAnsi="Cambria" w:eastAsia="Cambria" w:cs="Cambria"/>
          <w:sz w:val="24"/>
          <w:szCs w:val="24"/>
        </w:rPr>
        <w:fldChar w:fldCharType="separate"/>
      </w:r>
      <w:r>
        <w:rPr>
          <w:rFonts w:ascii="Cambria" w:hAnsi="Cambria" w:eastAsia="Cambria" w:cs="Cambria"/>
          <w:sz w:val="24"/>
          <w:szCs w:val="24"/>
        </w:rPr>
        <w:t>(Widiastuti, 2023)</w:t>
      </w:r>
      <w:r>
        <w:rPr>
          <w:rFonts w:ascii="Cambria" w:hAnsi="Cambria" w:eastAsia="Cambria" w:cs="Cambria"/>
          <w:sz w:val="24"/>
          <w:szCs w:val="24"/>
        </w:rPr>
        <w:fldChar w:fldCharType="end"/>
      </w:r>
      <w:r>
        <w:rPr>
          <w:rFonts w:ascii="Cambria" w:hAnsi="Cambria" w:eastAsia="Cambria" w:cs="Cambria"/>
          <w:sz w:val="24"/>
          <w:szCs w:val="24"/>
        </w:rPr>
        <w:t>.</w:t>
      </w:r>
    </w:p>
    <w:p w14:paraId="233F6C98">
      <w:pPr>
        <w:spacing w:after="0" w:line="240" w:lineRule="auto"/>
        <w:ind w:firstLine="567"/>
        <w:jc w:val="both"/>
        <w:rPr>
          <w:rFonts w:ascii="Cambria" w:hAnsi="Cambria" w:eastAsia="Cambria" w:cs="Cambria"/>
          <w:sz w:val="24"/>
          <w:szCs w:val="24"/>
        </w:rPr>
      </w:pPr>
      <w:r>
        <w:rPr>
          <w:rFonts w:ascii="Cambria" w:hAnsi="Cambria" w:eastAsia="Cambria" w:cs="Cambria"/>
          <w:sz w:val="24"/>
          <w:szCs w:val="24"/>
        </w:rPr>
        <w:t>Although many efforts have been made to improve students' understanding of mathematical concepts, previous studies still show that there is a significant gap in the understanding of integer concepts among grade VII students. Therefore, this study aims to further analyze the understanding of integer concepts among grade VII students at one of the junior high schools in Karawang Regency. In addition, this study also provides recommendations for strategies that can be applied by teachers to help students understand this material better. Thus, this study is expected to provide a significant contribution to the development of mathematics learning, especially to improve the understanding of integer concepts among junior high school students.</w:t>
      </w:r>
    </w:p>
    <w:p w14:paraId="5335C71A">
      <w:pPr>
        <w:spacing w:after="0" w:line="240" w:lineRule="auto"/>
        <w:ind w:firstLine="567"/>
        <w:jc w:val="both"/>
        <w:rPr>
          <w:rFonts w:ascii="Cambria" w:hAnsi="Cambria" w:eastAsia="Cambria" w:cs="Cambria"/>
          <w:sz w:val="24"/>
          <w:szCs w:val="24"/>
        </w:rPr>
      </w:pPr>
      <w:r>
        <w:rPr>
          <w:rFonts w:ascii="Cambria" w:hAnsi="Cambria" w:eastAsia="Cambria" w:cs="Cambria"/>
          <w:sz w:val="24"/>
          <w:szCs w:val="24"/>
        </w:rPr>
        <w:t>The formulation of the research problem can be formulated in the question, namely: to what extent is the understanding of mathematical concepts of grade VII students on the material of integers? By answering this question, it is hoped that this study can provide a clearer understanding of how to improve the understanding of the concept of integers among students and how teachers can choose the most appropriate approach to improve their learning achievement.</w:t>
      </w:r>
    </w:p>
    <w:p w14:paraId="51242003">
      <w:pPr>
        <w:spacing w:after="0" w:line="240" w:lineRule="auto"/>
        <w:jc w:val="both"/>
        <w:rPr>
          <w:rFonts w:ascii="Cambria" w:hAnsi="Cambria" w:eastAsia="Cambria" w:cs="Cambria"/>
          <w:b/>
          <w:sz w:val="24"/>
          <w:szCs w:val="24"/>
        </w:rPr>
      </w:pPr>
    </w:p>
    <w:p w14:paraId="71ECFEAF">
      <w:pPr>
        <w:spacing w:after="0" w:line="240" w:lineRule="auto"/>
        <w:rPr>
          <w:rFonts w:ascii="Cambria" w:hAnsi="Cambria" w:eastAsia="Cambria" w:cs="Cambria"/>
          <w:sz w:val="24"/>
          <w:szCs w:val="24"/>
        </w:rPr>
      </w:pPr>
      <w:r>
        <w:rPr>
          <w:rFonts w:ascii="Cambria" w:hAnsi="Cambria" w:eastAsia="Cambria" w:cs="Cambria"/>
          <w:b/>
          <w:sz w:val="24"/>
          <w:szCs w:val="24"/>
        </w:rPr>
        <w:t>Research methods</w:t>
      </w:r>
    </w:p>
    <w:p w14:paraId="2BF3797C">
      <w:pPr>
        <w:spacing w:after="0" w:line="240" w:lineRule="auto"/>
        <w:ind w:firstLine="567"/>
        <w:jc w:val="both"/>
        <w:rPr>
          <w:rFonts w:eastAsia="Times New Roman" w:cs="Times New Roman" w:asciiTheme="majorHAnsi" w:hAnsiTheme="majorHAnsi"/>
          <w:sz w:val="24"/>
          <w:szCs w:val="24"/>
        </w:rPr>
      </w:pPr>
      <w:r>
        <w:rPr>
          <w:rFonts w:eastAsia="Times New Roman" w:cs="Times New Roman" w:asciiTheme="majorHAnsi" w:hAnsiTheme="majorHAnsi"/>
          <w:sz w:val="24"/>
          <w:szCs w:val="24"/>
        </w:rPr>
        <w:t>The approach in this study is a qualitative approach with a descriptive method. The main objective of this study is to analyze and describe the ability to understand mathematical concepts of integers of junior high school students. Based on</w:t>
      </w:r>
      <w:r>
        <w:rPr>
          <w:rFonts w:eastAsia="Times New Roman" w:cs="Times New Roman" w:asciiTheme="majorHAnsi" w:hAnsiTheme="majorHAnsi"/>
          <w:sz w:val="24"/>
          <w:szCs w:val="24"/>
        </w:rPr>
        <w:fldChar w:fldCharType="begin" w:fldLock="1"/>
      </w:r>
      <w:r>
        <w:rPr>
          <w:rFonts w:eastAsia="Times New Roman" w:cs="Times New Roman" w:asciiTheme="majorHAnsi" w:hAnsiTheme="majorHAnsi"/>
          <w:sz w:val="24"/>
          <w:szCs w:val="24"/>
        </w:rPr>
        <w:instrText xml:space="preserve">ADDIN CSL_CITATION {"citationItems":[{"id":"ITEM-1","itemData":{"DOI":"10.46799/jst.v4i2.689","ISSN":"2721-3854","abstract":"One of the problems that often occurs in learning mathematics is the ability to solve problems on certain subjects. This research has the objective of analyzing students' mathematical problem-solving abilities regarding algebraic material. In research, of course, using research methods, researchers decide to use qualitative descriptive methods. The study was carried out in an odd semester at SMP Negeri 1 Rawamerta in the 2022/2023 school year class VIII J. The population in this study was all class VIII J students of SMP Negeri 1 Rawamerta with a sample used of 15 students. The instrument in the research is a question in the form of a test on the ability to solve mathematical problems by means of data collection techniques. According to the results of the analysis that has been carried out, an average score was obtained from the mathematical problem solving ability of class VIII J students at SMP Negeri 1 Rawamerta on solving algebraic material problems, that is 32.25%. Students' mathematical concept ability in solving algebraic material problems in class VIII J students at SMP Negeri 1 Rawamerta can be categorized as low.","author":[{"dropping-particle":"","family":"Bernard","given":"Martin","non-dropping-particle":"","parse-names":false,"suffix":""},{"dropping-particle":"","family":"Nurmala","given":"Nuni","non-dropping-particle":"","parse-names":false,"suffix":""},{"dropping-particle":"","family":"Mariam","given":"Shinta","non-dropping-particle":"","parse-names":false,"suffix":""},{"dropping-particle":"","family":"Rustyani","given":"Nadila","non-dropping-particle":"","parse-names":false,"suffix":""}],"container-title":"SJME (Supremum Journal of Mathematics Education)","id":"ITEM-1","issue":"1","issued":{"date-parts":[["2018"]]},"page":"77-83","title":"Analisis Kemampuan Pemecahan Masalah Matematis Siswa SMP Kelas IX Pada Materi Bangun Datar","type":"article-journal","volume":"2"},"uris":["http://www.mendeley.com/documents/?uuid=44ad3442-3334-450e-b4c4-7cb505159af1"]}],"mendeley":{"formattedCitation":"(Bernard et al., 2018)","manualFormatting":"Bernard et al., (2018)","plainTextFormattedCitation":"(Bernard et al., 2018)","previouslyFormattedCitation":"(Bernard et al., 2018)"},"properties":{"noteIndex":0},"schema":"https://github.com/citation-style-language/schema/raw/master/csl-citation.json"}</w:instrText>
      </w:r>
      <w:r>
        <w:rPr>
          <w:rFonts w:eastAsia="Times New Roman" w:cs="Times New Roman" w:asciiTheme="majorHAnsi" w:hAnsiTheme="majorHAnsi"/>
          <w:sz w:val="24"/>
          <w:szCs w:val="24"/>
        </w:rPr>
        <w:fldChar w:fldCharType="separate"/>
      </w:r>
      <w:r>
        <w:rPr>
          <w:rFonts w:eastAsia="Times New Roman" w:cs="Times New Roman" w:asciiTheme="majorHAnsi" w:hAnsiTheme="majorHAnsi"/>
          <w:sz w:val="24"/>
          <w:szCs w:val="24"/>
        </w:rPr>
        <w:t>Bernard et al., (2018)</w:t>
      </w:r>
      <w:r>
        <w:rPr>
          <w:rFonts w:eastAsia="Times New Roman" w:cs="Times New Roman" w:asciiTheme="majorHAnsi" w:hAnsiTheme="majorHAnsi"/>
          <w:sz w:val="24"/>
          <w:szCs w:val="24"/>
        </w:rPr>
        <w:fldChar w:fldCharType="end"/>
      </w:r>
      <w:r>
        <w:rPr>
          <w:rFonts w:eastAsia="Times New Roman" w:cs="Times New Roman" w:asciiTheme="majorHAnsi" w:hAnsiTheme="majorHAnsi"/>
          <w:sz w:val="24"/>
          <w:szCs w:val="24"/>
        </w:rPr>
        <w:t>Qualitative research is a descriptive research design that usually uses data analysis to describe existing phenomena.</w:t>
      </w:r>
    </w:p>
    <w:p w14:paraId="368851E7">
      <w:pPr>
        <w:spacing w:after="0" w:line="240" w:lineRule="auto"/>
        <w:ind w:firstLine="567"/>
        <w:jc w:val="both"/>
        <w:rPr>
          <w:rFonts w:eastAsia="Times New Roman" w:cs="Times New Roman" w:asciiTheme="majorHAnsi" w:hAnsiTheme="majorHAnsi"/>
          <w:sz w:val="24"/>
          <w:szCs w:val="24"/>
        </w:rPr>
      </w:pPr>
      <w:r>
        <w:rPr>
          <w:rFonts w:eastAsia="Times New Roman" w:cs="Times New Roman" w:asciiTheme="majorHAnsi" w:hAnsiTheme="majorHAnsi"/>
          <w:sz w:val="24"/>
          <w:szCs w:val="24"/>
        </w:rPr>
        <w:t>The subjects of this study were grade VII students at one of the junior high schools in Karawang Regency with a total of 35 students. The subjects were divided into three categories of mathematical ability, namely the high ability category, the medium ability category, and the low ability category. This grouping was carried out based on the results of the test analysis which included three descriptive questions that measured indicators of students' mathematical concept understanding abilities.</w:t>
      </w:r>
    </w:p>
    <w:p w14:paraId="26BAEC2D">
      <w:pPr>
        <w:spacing w:after="0" w:line="240" w:lineRule="auto"/>
        <w:ind w:firstLine="567"/>
        <w:jc w:val="both"/>
        <w:rPr>
          <w:rFonts w:eastAsia="Times New Roman" w:cs="Times New Roman" w:asciiTheme="majorHAnsi" w:hAnsiTheme="majorHAnsi"/>
          <w:sz w:val="24"/>
          <w:szCs w:val="24"/>
          <w:lang w:val="en-US"/>
        </w:rPr>
      </w:pPr>
      <w:r>
        <w:rPr>
          <w:rFonts w:eastAsia="Times New Roman" w:cs="Times New Roman" w:asciiTheme="majorHAnsi" w:hAnsiTheme="majorHAnsi"/>
          <w:sz w:val="24"/>
          <w:szCs w:val="24"/>
        </w:rPr>
        <w:t>The research procedure was carried out through the following operational steps: (1) preparation, compiling a test instrument consisting of three descriptive questions that measure students' understanding of mathematical concepts about integers, (2) implementation, giving test questions to 35 students to measure their understanding of the concept of integers, (3) data processing, calculating the average score and standard deviation of the test results for each student, and (4) ability categorization, based on the results of data processing, students are grouped into three categories of mathematical ability according to the provisions in Table 1. The categorization is as follows:</w:t>
      </w:r>
      <w:r>
        <w:rPr>
          <w:rFonts w:eastAsia="Times New Roman" w:cs="Times New Roman" w:asciiTheme="majorHAnsi" w:hAnsiTheme="majorHAnsi"/>
          <w:sz w:val="24"/>
          <w:szCs w:val="24"/>
        </w:rPr>
        <w:fldChar w:fldCharType="begin" w:fldLock="1"/>
      </w:r>
      <w:r>
        <w:rPr>
          <w:rFonts w:eastAsia="Times New Roman" w:cs="Times New Roman" w:asciiTheme="majorHAnsi" w:hAnsiTheme="majorHAnsi"/>
          <w:sz w:val="24"/>
          <w:szCs w:val="24"/>
        </w:rPr>
        <w:instrText xml:space="preserve">ADDIN CSL_CITATION {"citationItems":[{"id":"ITEM-1","itemData":{"DOI":"10.22460/jpmi.v4i1.215-224","abstract":"The purpose of this article is to describe student’s mathematical understanding concept abilities based on concentration of learning. This research uses a qualitative approach with descriptive methods. The subjects of this study were students of class VIII at one of junior high schools in Karawang and then choose 3 people based on considerations made by researchers through purposive sampling and through the levels concentration of learning, namely high, medium, and low. Data collection techniques in this study used a mathematical understanding concept abilities test, and concentration of learning questionnaires. The results of the study based on the analysis that has been done show that: students in the category of high learning concentration can fulfillall indicators of the ability understanding mathematical concepts, students in the category of middle learning concentration can fulfill 2 indicators of the ability understanding mathematical concepts, and students in the category of low learning concentration can fulfill 1 indicator of the ability understanding mathematical concepts.","author":[{"dropping-particle":"","family":"Cahani","given":"Khoirunnisa","non-dropping-particle":"","parse-names":false,"suffix":""},{"dropping-particle":"","family":"Effendi","given":"Kiki Nia Sania","non-dropping-particle":"","parse-names":false,"suffix":""},{"dropping-particle":"","family":"Munandar","given":"Dadang Rahman","non-dropping-particle":"","parse-names":false,"suffix":""}],"container-title":"Pembelajaran Matematika Inovatif","id":"ITEM-1","issue":"1","issued":{"date-parts":[["2021"]]},"page":"215-224","title":"Kemampuan Pemahaman Konsep Matematika Siswa Ditinjau Dari Konsentrasi Belajar Pada Materi Statistika Dasar","type":"article-journal","volume":"4"},"uris":["http://www.mendeley.com/documents/?uuid=fe5365d5-a5fb-425c-a482-69a27bf79d7f"]}],"mendeley":{"formattedCitation":"(Cahani et al., 2021)","plainTextFormattedCitation":"(Cahani et al., 2021)"},"properties":{"noteIndex":0},"schema":"https://github.com/citation-style-language/schema/raw/master/csl-citation.json"}</w:instrText>
      </w:r>
      <w:r>
        <w:rPr>
          <w:rFonts w:eastAsia="Times New Roman" w:cs="Times New Roman" w:asciiTheme="majorHAnsi" w:hAnsiTheme="majorHAnsi"/>
          <w:sz w:val="24"/>
          <w:szCs w:val="24"/>
        </w:rPr>
        <w:fldChar w:fldCharType="separate"/>
      </w:r>
      <w:r>
        <w:rPr>
          <w:rFonts w:eastAsia="Times New Roman" w:cs="Times New Roman" w:asciiTheme="majorHAnsi" w:hAnsiTheme="majorHAnsi"/>
          <w:sz w:val="24"/>
          <w:szCs w:val="24"/>
        </w:rPr>
        <w:t>(Cahani et al., 2021)</w:t>
      </w:r>
      <w:r>
        <w:rPr>
          <w:rFonts w:eastAsia="Times New Roman" w:cs="Times New Roman" w:asciiTheme="majorHAnsi" w:hAnsiTheme="majorHAnsi"/>
          <w:sz w:val="24"/>
          <w:szCs w:val="24"/>
        </w:rPr>
        <w:fldChar w:fldCharType="end"/>
      </w:r>
    </w:p>
    <w:p w14:paraId="266D40A1">
      <w:pPr>
        <w:spacing w:after="0" w:line="240" w:lineRule="auto"/>
        <w:jc w:val="center"/>
        <w:rPr>
          <w:rFonts w:eastAsia="Times New Roman" w:cs="Times New Roman" w:asciiTheme="majorHAnsi" w:hAnsiTheme="majorHAnsi"/>
          <w:b/>
          <w:color w:val="000000"/>
          <w:sz w:val="24"/>
          <w:szCs w:val="24"/>
        </w:rPr>
      </w:pPr>
      <w:r>
        <w:rPr>
          <w:rFonts w:eastAsia="Times New Roman" w:cs="Times New Roman" w:asciiTheme="majorHAnsi" w:hAnsiTheme="majorHAnsi"/>
          <w:b/>
          <w:color w:val="000000"/>
          <w:sz w:val="24"/>
          <w:szCs w:val="24"/>
        </w:rPr>
        <w:t xml:space="preserve">       </w:t>
      </w:r>
    </w:p>
    <w:p w14:paraId="6C034B58">
      <w:pPr>
        <w:spacing w:after="0" w:line="240" w:lineRule="auto"/>
        <w:ind w:left="-220" w:leftChars="-100" w:firstLine="120" w:firstLineChars="50"/>
        <w:jc w:val="left"/>
        <w:rPr>
          <w:rFonts w:eastAsia="Times New Roman" w:cs="Times New Roman" w:asciiTheme="majorHAnsi" w:hAnsiTheme="majorHAnsi"/>
          <w:b/>
          <w:color w:val="000000"/>
          <w:sz w:val="24"/>
          <w:szCs w:val="24"/>
          <w:lang w:val="en-US"/>
        </w:rPr>
      </w:pPr>
      <w:r>
        <w:rPr>
          <w:rFonts w:eastAsia="Times New Roman" w:cs="Times New Roman" w:asciiTheme="majorHAnsi" w:hAnsiTheme="majorHAnsi"/>
          <w:b w:val="0"/>
          <w:bCs/>
          <w:color w:val="000000"/>
          <w:sz w:val="24"/>
          <w:szCs w:val="24"/>
        </w:rPr>
        <w:t xml:space="preserve"> Table 1.</w:t>
      </w:r>
      <w:r>
        <w:rPr>
          <w:rFonts w:eastAsia="Times New Roman" w:cs="Times New Roman" w:asciiTheme="majorHAnsi" w:hAnsiTheme="majorHAnsi"/>
          <w:b w:val="0"/>
          <w:bCs/>
          <w:color w:val="000000"/>
          <w:sz w:val="24"/>
          <w:szCs w:val="24"/>
          <w:lang w:val="en-US"/>
        </w:rPr>
        <w:t>Ca</w:t>
      </w:r>
      <w:r>
        <w:rPr>
          <w:rFonts w:eastAsia="Times New Roman" w:cs="Times New Roman" w:asciiTheme="majorHAnsi" w:hAnsiTheme="majorHAnsi"/>
          <w:color w:val="000000"/>
          <w:sz w:val="24"/>
          <w:szCs w:val="24"/>
          <w:lang w:val="en-US"/>
        </w:rPr>
        <w:t>tegorization of students' mathematical understanding abilities</w:t>
      </w:r>
    </w:p>
    <w:tbl>
      <w:tblPr>
        <w:tblStyle w:val="9"/>
        <w:tblW w:w="9072"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173"/>
        <w:gridCol w:w="4899"/>
      </w:tblGrid>
      <w:tr w14:paraId="2A66689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173" w:type="dxa"/>
            <w:tcBorders>
              <w:top w:val="single" w:color="000000" w:sz="4" w:space="0"/>
              <w:left w:val="nil"/>
              <w:bottom w:val="single" w:color="000000" w:sz="4" w:space="0"/>
              <w:right w:val="nil"/>
            </w:tcBorders>
            <w:vAlign w:val="center"/>
          </w:tcPr>
          <w:p w14:paraId="556E565E">
            <w:pPr>
              <w:spacing w:after="0" w:line="240" w:lineRule="auto"/>
              <w:ind w:firstLine="30"/>
              <w:jc w:val="center"/>
              <w:rPr>
                <w:rFonts w:eastAsia="Times New Roman" w:cs="Times New Roman" w:asciiTheme="majorHAnsi" w:hAnsiTheme="majorHAnsi"/>
                <w:b/>
                <w:bCs/>
                <w:sz w:val="24"/>
                <w:szCs w:val="24"/>
                <w:lang w:val="en-US"/>
              </w:rPr>
            </w:pPr>
            <w:r>
              <w:rPr>
                <w:rFonts w:eastAsia="Times New Roman" w:cs="Times New Roman" w:asciiTheme="majorHAnsi" w:hAnsiTheme="majorHAnsi"/>
                <w:b/>
                <w:bCs/>
                <w:sz w:val="24"/>
                <w:szCs w:val="24"/>
                <w:lang w:val="en-US"/>
              </w:rPr>
              <w:t>Category</w:t>
            </w:r>
          </w:p>
        </w:tc>
        <w:tc>
          <w:tcPr>
            <w:tcW w:w="4899" w:type="dxa"/>
            <w:tcBorders>
              <w:top w:val="single" w:color="000000" w:sz="4" w:space="0"/>
              <w:left w:val="nil"/>
              <w:bottom w:val="single" w:color="000000" w:sz="4" w:space="0"/>
              <w:right w:val="nil"/>
            </w:tcBorders>
          </w:tcPr>
          <w:p w14:paraId="04F44778">
            <w:pPr>
              <w:spacing w:after="0" w:line="240" w:lineRule="auto"/>
              <w:ind w:firstLine="30"/>
              <w:jc w:val="center"/>
              <w:rPr>
                <w:rFonts w:eastAsia="Times New Roman" w:cs="Times New Roman" w:asciiTheme="majorHAnsi" w:hAnsiTheme="majorHAnsi"/>
                <w:b/>
                <w:bCs/>
                <w:sz w:val="24"/>
                <w:szCs w:val="24"/>
              </w:rPr>
            </w:pPr>
            <w:r>
              <w:rPr>
                <w:rFonts w:eastAsia="Times New Roman" w:cs="Times New Roman" w:asciiTheme="majorHAnsi" w:hAnsiTheme="majorHAnsi"/>
                <w:b/>
                <w:bCs/>
                <w:sz w:val="24"/>
                <w:szCs w:val="24"/>
              </w:rPr>
              <w:t>Value Category</w:t>
            </w:r>
          </w:p>
        </w:tc>
      </w:tr>
      <w:tr w14:paraId="2DECAEB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173" w:type="dxa"/>
            <w:tcBorders>
              <w:top w:val="single" w:color="000000" w:sz="4" w:space="0"/>
              <w:left w:val="nil"/>
              <w:bottom w:val="nil"/>
              <w:right w:val="nil"/>
            </w:tcBorders>
            <w:vAlign w:val="bottom"/>
          </w:tcPr>
          <w:p w14:paraId="35C81458">
            <w:pPr>
              <w:spacing w:after="0" w:line="240" w:lineRule="auto"/>
              <w:ind w:firstLine="30"/>
              <w:jc w:val="center"/>
              <w:rPr>
                <w:rFonts w:eastAsia="Times New Roman" w:cs="Times New Roman" w:asciiTheme="majorHAnsi" w:hAnsiTheme="majorHAnsi"/>
                <w:sz w:val="24"/>
                <w:szCs w:val="24"/>
                <w:lang w:val="en-US"/>
              </w:rPr>
            </w:pPr>
            <w:r>
              <w:rPr>
                <w:rFonts w:eastAsia="Times New Roman" w:cs="Times New Roman" w:asciiTheme="majorHAnsi" w:hAnsiTheme="majorHAnsi"/>
                <w:sz w:val="24"/>
                <w:szCs w:val="24"/>
                <w:lang w:val="en-US"/>
              </w:rPr>
              <w:t>Tall</w:t>
            </w:r>
          </w:p>
        </w:tc>
        <w:tc>
          <w:tcPr>
            <w:tcW w:w="4899" w:type="dxa"/>
            <w:tcBorders>
              <w:top w:val="single" w:color="000000" w:sz="4" w:space="0"/>
              <w:left w:val="nil"/>
              <w:bottom w:val="nil"/>
              <w:right w:val="nil"/>
            </w:tcBorders>
          </w:tcPr>
          <w:p w14:paraId="57C14E7B">
            <w:pPr>
              <w:spacing w:after="0" w:line="240" w:lineRule="auto"/>
              <w:ind w:firstLine="30"/>
              <w:jc w:val="center"/>
              <w:rPr>
                <w:rFonts w:eastAsia="Times New Roman" w:cs="Times New Roman" w:asciiTheme="majorHAnsi" w:hAnsiTheme="majorHAnsi"/>
                <w:sz w:val="24"/>
                <w:szCs w:val="24"/>
                <w:lang w:val="en-US"/>
              </w:rPr>
            </w:pPr>
            <m:oMathPara>
              <m:oMath>
                <m:r>
                  <m:rPr/>
                  <w:rPr>
                    <w:rFonts w:ascii="Cambria Math" w:hAnsi="Cambria Math" w:eastAsia="Times New Roman" w:cs="Times New Roman"/>
                    <w:color w:val="000000"/>
                    <w:sz w:val="24"/>
                    <w:szCs w:val="24"/>
                    <w:lang w:val="en-US"/>
                  </w:rPr>
                  <m:t>X≥(</m:t>
                </m:r>
                <m:acc>
                  <m:accPr>
                    <m:chr m:val="̅"/>
                    <m:ctrlPr>
                      <w:rPr>
                        <w:rFonts w:ascii="Cambria Math" w:hAnsi="Cambria Math" w:eastAsia="Times New Roman" w:cs="Times New Roman"/>
                        <w:i/>
                        <w:color w:val="000000"/>
                        <w:sz w:val="24"/>
                        <w:szCs w:val="24"/>
                        <w:lang w:val="en-US"/>
                      </w:rPr>
                    </m:ctrlPr>
                  </m:accPr>
                  <m:e>
                    <m:r>
                      <m:rPr/>
                      <w:rPr>
                        <w:rFonts w:ascii="Cambria Math" w:hAnsi="Cambria Math" w:eastAsia="Times New Roman" w:cs="Times New Roman"/>
                        <w:color w:val="000000"/>
                        <w:sz w:val="24"/>
                        <w:szCs w:val="24"/>
                        <w:lang w:val="en-US"/>
                      </w:rPr>
                      <m:t>x</m:t>
                    </m:r>
                    <m:ctrlPr>
                      <w:rPr>
                        <w:rFonts w:ascii="Cambria Math" w:hAnsi="Cambria Math" w:eastAsia="Times New Roman" w:cs="Times New Roman"/>
                        <w:i/>
                        <w:color w:val="000000"/>
                        <w:sz w:val="24"/>
                        <w:szCs w:val="24"/>
                        <w:lang w:val="en-US"/>
                      </w:rPr>
                    </m:ctrlPr>
                  </m:e>
                </m:acc>
                <m:r>
                  <m:rPr/>
                  <w:rPr>
                    <w:rFonts w:ascii="Cambria Math" w:hAnsi="Cambria Math" w:eastAsia="Times New Roman" w:cs="Times New Roman"/>
                    <w:color w:val="000000"/>
                    <w:sz w:val="24"/>
                    <w:szCs w:val="24"/>
                    <w:lang w:val="en-US"/>
                  </w:rPr>
                  <m:t>+SD)</m:t>
                </m:r>
              </m:oMath>
            </m:oMathPara>
          </w:p>
        </w:tc>
      </w:tr>
      <w:tr w14:paraId="507AB01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5" w:hRule="atLeast"/>
        </w:trPr>
        <w:tc>
          <w:tcPr>
            <w:tcW w:w="4173" w:type="dxa"/>
            <w:tcBorders>
              <w:top w:val="nil"/>
              <w:left w:val="nil"/>
              <w:bottom w:val="nil"/>
              <w:right w:val="nil"/>
            </w:tcBorders>
            <w:vAlign w:val="bottom"/>
          </w:tcPr>
          <w:p w14:paraId="6BF7306A">
            <w:pPr>
              <w:spacing w:after="0" w:line="240" w:lineRule="auto"/>
              <w:ind w:firstLine="30"/>
              <w:jc w:val="center"/>
              <w:rPr>
                <w:rFonts w:eastAsia="Times New Roman" w:cs="Times New Roman" w:asciiTheme="majorHAnsi" w:hAnsiTheme="majorHAnsi"/>
                <w:sz w:val="24"/>
                <w:szCs w:val="24"/>
                <w:lang w:val="en-US"/>
              </w:rPr>
            </w:pPr>
            <w:r>
              <w:rPr>
                <w:rFonts w:eastAsia="Times New Roman" w:cs="Times New Roman" w:asciiTheme="majorHAnsi" w:hAnsiTheme="majorHAnsi"/>
                <w:sz w:val="24"/>
                <w:szCs w:val="24"/>
                <w:lang w:val="en-US"/>
              </w:rPr>
              <w:t>Currently</w:t>
            </w:r>
          </w:p>
        </w:tc>
        <w:tc>
          <w:tcPr>
            <w:tcW w:w="4899" w:type="dxa"/>
            <w:tcBorders>
              <w:top w:val="nil"/>
              <w:left w:val="nil"/>
              <w:bottom w:val="nil"/>
              <w:right w:val="nil"/>
            </w:tcBorders>
          </w:tcPr>
          <w:p w14:paraId="05094A79">
            <w:pPr>
              <w:spacing w:after="0" w:line="240" w:lineRule="auto"/>
              <w:ind w:firstLine="30"/>
              <w:jc w:val="center"/>
              <w:rPr>
                <w:rFonts w:eastAsia="Times New Roman" w:cs="Times New Roman" w:asciiTheme="majorHAnsi" w:hAnsiTheme="majorHAnsi"/>
                <w:sz w:val="24"/>
                <w:szCs w:val="24"/>
              </w:rPr>
            </w:pPr>
            <m:oMathPara>
              <m:oMath>
                <m:d>
                  <m:dPr>
                    <m:ctrlPr>
                      <w:rPr>
                        <w:rFonts w:ascii="Cambria Math" w:hAnsi="Cambria Math" w:eastAsia="Times New Roman" w:cs="Times New Roman"/>
                        <w:i/>
                        <w:color w:val="000000"/>
                        <w:sz w:val="24"/>
                        <w:szCs w:val="24"/>
                        <w:lang w:val="en-US"/>
                      </w:rPr>
                    </m:ctrlPr>
                  </m:dPr>
                  <m:e>
                    <m:acc>
                      <m:accPr>
                        <m:chr m:val="̅"/>
                        <m:ctrlPr>
                          <w:rPr>
                            <w:rFonts w:ascii="Cambria Math" w:hAnsi="Cambria Math" w:eastAsia="Times New Roman" w:cs="Times New Roman"/>
                            <w:i/>
                            <w:color w:val="000000"/>
                            <w:sz w:val="24"/>
                            <w:szCs w:val="24"/>
                            <w:lang w:val="en-US"/>
                          </w:rPr>
                        </m:ctrlPr>
                      </m:accPr>
                      <m:e>
                        <m:r>
                          <m:rPr/>
                          <w:rPr>
                            <w:rFonts w:ascii="Cambria Math" w:hAnsi="Cambria Math" w:eastAsia="Times New Roman" w:cs="Times New Roman"/>
                            <w:color w:val="000000"/>
                            <w:sz w:val="24"/>
                            <w:szCs w:val="24"/>
                            <w:lang w:val="en-US"/>
                          </w:rPr>
                          <m:t>x</m:t>
                        </m:r>
                        <m:ctrlPr>
                          <w:rPr>
                            <w:rFonts w:ascii="Cambria Math" w:hAnsi="Cambria Math" w:eastAsia="Times New Roman" w:cs="Times New Roman"/>
                            <w:i/>
                            <w:color w:val="000000"/>
                            <w:sz w:val="24"/>
                            <w:szCs w:val="24"/>
                            <w:lang w:val="en-US"/>
                          </w:rPr>
                        </m:ctrlPr>
                      </m:e>
                    </m:acc>
                    <m:r>
                      <m:rPr/>
                      <w:rPr>
                        <w:rFonts w:ascii="Cambria Math" w:hAnsi="Cambria Math" w:eastAsia="Times New Roman" w:cs="Times New Roman"/>
                        <w:color w:val="000000"/>
                        <w:sz w:val="24"/>
                        <w:szCs w:val="24"/>
                        <w:lang w:val="en-US"/>
                      </w:rPr>
                      <m:t>−SD</m:t>
                    </m:r>
                    <m:ctrlPr>
                      <w:rPr>
                        <w:rFonts w:ascii="Cambria Math" w:hAnsi="Cambria Math" w:eastAsia="Times New Roman" w:cs="Times New Roman"/>
                        <w:i/>
                        <w:color w:val="000000"/>
                        <w:sz w:val="24"/>
                        <w:szCs w:val="24"/>
                        <w:lang w:val="en-US"/>
                      </w:rPr>
                    </m:ctrlPr>
                  </m:e>
                </m:d>
                <m:r>
                  <m:rPr/>
                  <w:rPr>
                    <w:rFonts w:ascii="Cambria Math" w:hAnsi="Cambria Math" w:eastAsia="Times New Roman" w:cs="Times New Roman"/>
                    <w:color w:val="000000"/>
                    <w:sz w:val="24"/>
                    <w:szCs w:val="24"/>
                    <w:lang w:val="en-US"/>
                  </w:rPr>
                  <m:t>&lt;X&lt;(</m:t>
                </m:r>
                <m:acc>
                  <m:accPr>
                    <m:chr m:val="̅"/>
                    <m:ctrlPr>
                      <w:rPr>
                        <w:rFonts w:ascii="Cambria Math" w:hAnsi="Cambria Math" w:eastAsia="Times New Roman" w:cs="Times New Roman"/>
                        <w:i/>
                        <w:color w:val="000000"/>
                        <w:sz w:val="24"/>
                        <w:szCs w:val="24"/>
                        <w:lang w:val="en-US"/>
                      </w:rPr>
                    </m:ctrlPr>
                  </m:accPr>
                  <m:e>
                    <m:r>
                      <m:rPr/>
                      <w:rPr>
                        <w:rFonts w:ascii="Cambria Math" w:hAnsi="Cambria Math" w:eastAsia="Times New Roman" w:cs="Times New Roman"/>
                        <w:color w:val="000000"/>
                        <w:sz w:val="24"/>
                        <w:szCs w:val="24"/>
                        <w:lang w:val="en-US"/>
                      </w:rPr>
                      <m:t>x</m:t>
                    </m:r>
                    <m:ctrlPr>
                      <w:rPr>
                        <w:rFonts w:ascii="Cambria Math" w:hAnsi="Cambria Math" w:eastAsia="Times New Roman" w:cs="Times New Roman"/>
                        <w:i/>
                        <w:color w:val="000000"/>
                        <w:sz w:val="24"/>
                        <w:szCs w:val="24"/>
                        <w:lang w:val="en-US"/>
                      </w:rPr>
                    </m:ctrlPr>
                  </m:e>
                </m:acc>
                <m:r>
                  <m:rPr/>
                  <w:rPr>
                    <w:rFonts w:ascii="Cambria Math" w:hAnsi="Cambria Math" w:eastAsia="Times New Roman" w:cs="Times New Roman"/>
                    <w:color w:val="000000"/>
                    <w:sz w:val="24"/>
                    <w:szCs w:val="24"/>
                    <w:lang w:val="en-US"/>
                  </w:rPr>
                  <m:t>+SD)</m:t>
                </m:r>
              </m:oMath>
            </m:oMathPara>
          </w:p>
        </w:tc>
      </w:tr>
      <w:tr w14:paraId="6927D4E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4173" w:type="dxa"/>
            <w:tcBorders>
              <w:top w:val="nil"/>
              <w:left w:val="nil"/>
              <w:bottom w:val="single" w:color="000000" w:sz="4" w:space="0"/>
              <w:right w:val="nil"/>
            </w:tcBorders>
            <w:vAlign w:val="bottom"/>
          </w:tcPr>
          <w:p w14:paraId="0DC23BAC">
            <w:pPr>
              <w:spacing w:after="0" w:line="240" w:lineRule="auto"/>
              <w:ind w:firstLine="30"/>
              <w:jc w:val="center"/>
              <w:rPr>
                <w:rFonts w:eastAsia="Times New Roman" w:cs="Times New Roman" w:asciiTheme="majorHAnsi" w:hAnsiTheme="majorHAnsi"/>
                <w:sz w:val="24"/>
                <w:szCs w:val="24"/>
                <w:lang w:val="en-US"/>
              </w:rPr>
            </w:pPr>
            <w:r>
              <w:rPr>
                <w:rFonts w:eastAsia="Times New Roman" w:cs="Times New Roman" w:asciiTheme="majorHAnsi" w:hAnsiTheme="majorHAnsi"/>
                <w:sz w:val="24"/>
                <w:szCs w:val="24"/>
                <w:lang w:val="en-US"/>
              </w:rPr>
              <w:t>Low</w:t>
            </w:r>
          </w:p>
        </w:tc>
        <w:tc>
          <w:tcPr>
            <w:tcW w:w="4899" w:type="dxa"/>
            <w:tcBorders>
              <w:top w:val="nil"/>
              <w:left w:val="nil"/>
              <w:bottom w:val="single" w:color="000000" w:sz="4" w:space="0"/>
              <w:right w:val="nil"/>
            </w:tcBorders>
          </w:tcPr>
          <w:p w14:paraId="6F77FCBD">
            <w:pPr>
              <w:spacing w:after="0" w:line="240" w:lineRule="auto"/>
              <w:ind w:firstLine="30"/>
              <w:jc w:val="center"/>
              <w:rPr>
                <w:rFonts w:eastAsia="Times New Roman" w:cs="Times New Roman" w:asciiTheme="majorHAnsi" w:hAnsiTheme="majorHAnsi"/>
                <w:sz w:val="24"/>
                <w:szCs w:val="24"/>
                <w:lang w:val="en-US"/>
              </w:rPr>
            </w:pPr>
            <m:oMathPara>
              <m:oMath>
                <m:r>
                  <m:rPr/>
                  <w:rPr>
                    <w:rFonts w:ascii="Cambria Math" w:hAnsi="Cambria Math" w:eastAsia="Times New Roman" w:cs="Times New Roman"/>
                    <w:color w:val="000000"/>
                    <w:sz w:val="24"/>
                    <w:szCs w:val="24"/>
                    <w:lang w:val="en-US"/>
                  </w:rPr>
                  <m:t>X≤(</m:t>
                </m:r>
                <m:acc>
                  <m:accPr>
                    <m:chr m:val="̅"/>
                    <m:ctrlPr>
                      <w:rPr>
                        <w:rFonts w:ascii="Cambria Math" w:hAnsi="Cambria Math" w:eastAsia="Times New Roman" w:cs="Times New Roman"/>
                        <w:i/>
                        <w:color w:val="000000"/>
                        <w:sz w:val="24"/>
                        <w:szCs w:val="24"/>
                        <w:lang w:val="en-US"/>
                      </w:rPr>
                    </m:ctrlPr>
                  </m:accPr>
                  <m:e>
                    <m:r>
                      <m:rPr/>
                      <w:rPr>
                        <w:rFonts w:ascii="Cambria Math" w:hAnsi="Cambria Math" w:eastAsia="Times New Roman" w:cs="Times New Roman"/>
                        <w:color w:val="000000"/>
                        <w:sz w:val="24"/>
                        <w:szCs w:val="24"/>
                        <w:lang w:val="en-US"/>
                      </w:rPr>
                      <m:t>x</m:t>
                    </m:r>
                    <m:ctrlPr>
                      <w:rPr>
                        <w:rFonts w:ascii="Cambria Math" w:hAnsi="Cambria Math" w:eastAsia="Times New Roman" w:cs="Times New Roman"/>
                        <w:i/>
                        <w:color w:val="000000"/>
                        <w:sz w:val="24"/>
                        <w:szCs w:val="24"/>
                        <w:lang w:val="en-US"/>
                      </w:rPr>
                    </m:ctrlPr>
                  </m:e>
                </m:acc>
                <m:r>
                  <m:rPr/>
                  <w:rPr>
                    <w:rFonts w:ascii="Cambria Math" w:hAnsi="Cambria Math" w:eastAsia="Times New Roman" w:cs="Times New Roman"/>
                    <w:color w:val="000000"/>
                    <w:sz w:val="24"/>
                    <w:szCs w:val="24"/>
                    <w:lang w:val="en-US"/>
                  </w:rPr>
                  <m:t>−SD)</m:t>
                </m:r>
              </m:oMath>
            </m:oMathPara>
          </w:p>
        </w:tc>
      </w:tr>
    </w:tbl>
    <w:p w14:paraId="381F474F">
      <w:pPr>
        <w:spacing w:after="0" w:line="240" w:lineRule="auto"/>
        <w:rPr>
          <w:rFonts w:eastAsia="Times New Roman" w:cs="Times New Roman" w:asciiTheme="majorHAnsi" w:hAnsiTheme="majorHAnsi"/>
          <w:sz w:val="24"/>
          <w:szCs w:val="24"/>
          <w:lang w:val="en-US"/>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54"/>
        <w:gridCol w:w="410"/>
        <w:gridCol w:w="510"/>
        <w:gridCol w:w="284"/>
        <w:gridCol w:w="5890"/>
      </w:tblGrid>
      <w:tr w14:paraId="12805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1" w:type="dxa"/>
          </w:tcPr>
          <w:p w14:paraId="22FF6DAE">
            <w:pPr>
              <w:spacing w:after="0" w:line="240" w:lineRule="auto"/>
              <w:rPr>
                <w:rFonts w:cs="Times New Roman" w:asciiTheme="majorHAnsi" w:hAnsiTheme="majorHAnsi"/>
                <w:sz w:val="24"/>
                <w:szCs w:val="24"/>
              </w:rPr>
            </w:pPr>
            <w:r>
              <w:rPr>
                <w:rFonts w:cs="Times New Roman" w:asciiTheme="majorHAnsi" w:hAnsiTheme="majorHAnsi"/>
                <w:sz w:val="24"/>
                <w:szCs w:val="24"/>
              </w:rPr>
              <w:t>Information</w:t>
            </w:r>
          </w:p>
        </w:tc>
        <w:tc>
          <w:tcPr>
            <w:tcW w:w="410" w:type="dxa"/>
          </w:tcPr>
          <w:p w14:paraId="3C1F66BB">
            <w:pPr>
              <w:spacing w:after="0" w:line="240" w:lineRule="auto"/>
              <w:rPr>
                <w:rFonts w:cs="Times New Roman" w:asciiTheme="majorHAnsi" w:hAnsiTheme="majorHAnsi"/>
                <w:sz w:val="24"/>
                <w:szCs w:val="24"/>
              </w:rPr>
            </w:pPr>
            <w:r>
              <w:rPr>
                <w:rFonts w:cs="Times New Roman" w:asciiTheme="majorHAnsi" w:hAnsiTheme="majorHAnsi"/>
                <w:sz w:val="24"/>
                <w:szCs w:val="24"/>
              </w:rPr>
              <w:t>:</w:t>
            </w:r>
          </w:p>
        </w:tc>
        <w:tc>
          <w:tcPr>
            <w:tcW w:w="510" w:type="dxa"/>
          </w:tcPr>
          <w:p w14:paraId="1BB4E875">
            <w:pPr>
              <w:spacing w:after="0" w:line="240" w:lineRule="auto"/>
              <w:rPr>
                <w:rFonts w:cs="Times New Roman" w:asciiTheme="majorHAnsi" w:hAnsiTheme="majorHAnsi"/>
                <w:sz w:val="24"/>
                <w:szCs w:val="24"/>
              </w:rPr>
            </w:pPr>
            <w:r>
              <w:rPr>
                <w:rFonts w:cs="Cambria Math" w:asciiTheme="majorHAnsi" w:hAnsiTheme="majorHAnsi"/>
                <w:sz w:val="24"/>
                <w:szCs w:val="24"/>
              </w:rPr>
              <w:t>𝑋</w:t>
            </w:r>
          </w:p>
        </w:tc>
        <w:tc>
          <w:tcPr>
            <w:tcW w:w="284" w:type="dxa"/>
          </w:tcPr>
          <w:p w14:paraId="06467FCA">
            <w:pPr>
              <w:spacing w:after="0" w:line="240" w:lineRule="auto"/>
              <w:rPr>
                <w:rFonts w:cs="Times New Roman" w:asciiTheme="majorHAnsi" w:hAnsiTheme="majorHAnsi"/>
                <w:sz w:val="24"/>
                <w:szCs w:val="24"/>
              </w:rPr>
            </w:pPr>
            <w:r>
              <w:rPr>
                <w:rFonts w:cs="Times New Roman" w:asciiTheme="majorHAnsi" w:hAnsiTheme="majorHAnsi"/>
                <w:sz w:val="24"/>
                <w:szCs w:val="24"/>
              </w:rPr>
              <w:t>:</w:t>
            </w:r>
          </w:p>
        </w:tc>
        <w:tc>
          <w:tcPr>
            <w:tcW w:w="5890" w:type="dxa"/>
          </w:tcPr>
          <w:p w14:paraId="59A10D19">
            <w:pPr>
              <w:spacing w:after="0" w:line="240" w:lineRule="auto"/>
              <w:rPr>
                <w:rFonts w:cs="Times New Roman" w:asciiTheme="majorHAnsi" w:hAnsiTheme="majorHAnsi"/>
                <w:sz w:val="24"/>
                <w:szCs w:val="24"/>
              </w:rPr>
            </w:pPr>
            <w:r>
              <w:rPr>
                <w:rFonts w:cs="Times New Roman" w:asciiTheme="majorHAnsi" w:hAnsiTheme="majorHAnsi"/>
                <w:sz w:val="24"/>
                <w:szCs w:val="24"/>
              </w:rPr>
              <w:t>Student grades</w:t>
            </w:r>
          </w:p>
        </w:tc>
      </w:tr>
      <w:tr w14:paraId="52B0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1" w:type="dxa"/>
          </w:tcPr>
          <w:p w14:paraId="5FD95C25">
            <w:pPr>
              <w:spacing w:after="0" w:line="240" w:lineRule="auto"/>
              <w:rPr>
                <w:rFonts w:cs="Times New Roman" w:asciiTheme="majorHAnsi" w:hAnsiTheme="majorHAnsi"/>
                <w:sz w:val="24"/>
                <w:szCs w:val="24"/>
              </w:rPr>
            </w:pPr>
          </w:p>
        </w:tc>
        <w:tc>
          <w:tcPr>
            <w:tcW w:w="410" w:type="dxa"/>
          </w:tcPr>
          <w:p w14:paraId="30B0EEF4">
            <w:pPr>
              <w:spacing w:after="0" w:line="240" w:lineRule="auto"/>
              <w:rPr>
                <w:rFonts w:cs="Times New Roman" w:asciiTheme="majorHAnsi" w:hAnsiTheme="majorHAnsi"/>
                <w:sz w:val="24"/>
                <w:szCs w:val="24"/>
              </w:rPr>
            </w:pPr>
          </w:p>
        </w:tc>
        <w:tc>
          <w:tcPr>
            <w:tcW w:w="510" w:type="dxa"/>
          </w:tcPr>
          <w:p w14:paraId="0ECBD59E">
            <w:pPr>
              <w:spacing w:after="0" w:line="240" w:lineRule="auto"/>
              <w:rPr>
                <w:rFonts w:cs="Times New Roman" w:asciiTheme="majorHAnsi" w:hAnsiTheme="majorHAnsi"/>
                <w:sz w:val="24"/>
                <w:szCs w:val="24"/>
              </w:rPr>
            </w:pPr>
            <w:r>
              <w:rPr>
                <w:rFonts w:cs="Cambria Math" w:asciiTheme="majorHAnsi" w:hAnsiTheme="majorHAnsi"/>
                <w:sz w:val="24"/>
                <w:szCs w:val="24"/>
              </w:rPr>
              <w:t>𝑥</w:t>
            </w:r>
            <w:r>
              <w:rPr>
                <w:rFonts w:cs="Times New Roman" w:asciiTheme="majorHAnsi" w:hAnsiTheme="majorHAnsi"/>
                <w:sz w:val="24"/>
                <w:szCs w:val="24"/>
              </w:rPr>
              <w:t>̅</w:t>
            </w:r>
          </w:p>
        </w:tc>
        <w:tc>
          <w:tcPr>
            <w:tcW w:w="284" w:type="dxa"/>
          </w:tcPr>
          <w:p w14:paraId="3CCED31C">
            <w:pPr>
              <w:spacing w:after="0" w:line="240" w:lineRule="auto"/>
              <w:rPr>
                <w:rFonts w:cs="Times New Roman" w:asciiTheme="majorHAnsi" w:hAnsiTheme="majorHAnsi"/>
                <w:sz w:val="24"/>
                <w:szCs w:val="24"/>
              </w:rPr>
            </w:pPr>
            <w:r>
              <w:rPr>
                <w:rFonts w:cs="Times New Roman" w:asciiTheme="majorHAnsi" w:hAnsiTheme="majorHAnsi"/>
                <w:sz w:val="24"/>
                <w:szCs w:val="24"/>
              </w:rPr>
              <w:t>:</w:t>
            </w:r>
          </w:p>
        </w:tc>
        <w:tc>
          <w:tcPr>
            <w:tcW w:w="5890" w:type="dxa"/>
          </w:tcPr>
          <w:p w14:paraId="6585A24D">
            <w:pPr>
              <w:spacing w:after="0" w:line="240" w:lineRule="auto"/>
              <w:rPr>
                <w:rFonts w:cs="Times New Roman" w:asciiTheme="majorHAnsi" w:hAnsiTheme="majorHAnsi"/>
                <w:sz w:val="24"/>
                <w:szCs w:val="24"/>
              </w:rPr>
            </w:pPr>
            <w:r>
              <w:rPr>
                <w:rFonts w:cs="Times New Roman" w:asciiTheme="majorHAnsi" w:hAnsiTheme="majorHAnsi"/>
                <w:sz w:val="24"/>
                <w:szCs w:val="24"/>
              </w:rPr>
              <w:t>Average value</w:t>
            </w:r>
          </w:p>
        </w:tc>
      </w:tr>
      <w:tr w14:paraId="09FE2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1" w:type="dxa"/>
          </w:tcPr>
          <w:p w14:paraId="4FDE139C">
            <w:pPr>
              <w:spacing w:after="0" w:line="240" w:lineRule="auto"/>
              <w:rPr>
                <w:rFonts w:cs="Times New Roman" w:asciiTheme="majorHAnsi" w:hAnsiTheme="majorHAnsi"/>
                <w:sz w:val="24"/>
                <w:szCs w:val="24"/>
              </w:rPr>
            </w:pPr>
          </w:p>
        </w:tc>
        <w:tc>
          <w:tcPr>
            <w:tcW w:w="410" w:type="dxa"/>
          </w:tcPr>
          <w:p w14:paraId="15A33572">
            <w:pPr>
              <w:spacing w:after="0" w:line="240" w:lineRule="auto"/>
              <w:rPr>
                <w:rFonts w:cs="Times New Roman" w:asciiTheme="majorHAnsi" w:hAnsiTheme="majorHAnsi"/>
                <w:sz w:val="24"/>
                <w:szCs w:val="24"/>
              </w:rPr>
            </w:pPr>
          </w:p>
        </w:tc>
        <w:tc>
          <w:tcPr>
            <w:tcW w:w="510" w:type="dxa"/>
          </w:tcPr>
          <w:p w14:paraId="31460DDD">
            <w:pPr>
              <w:spacing w:after="0" w:line="240" w:lineRule="auto"/>
              <w:rPr>
                <w:rFonts w:cs="Times New Roman" w:asciiTheme="majorHAnsi" w:hAnsiTheme="majorHAnsi"/>
                <w:sz w:val="24"/>
                <w:szCs w:val="24"/>
              </w:rPr>
            </w:pPr>
            <w:r>
              <w:rPr>
                <w:rFonts w:cs="Cambria Math" w:asciiTheme="majorHAnsi" w:hAnsiTheme="majorHAnsi"/>
                <w:sz w:val="24"/>
                <w:szCs w:val="24"/>
              </w:rPr>
              <w:t>𝑆𝐷</w:t>
            </w:r>
          </w:p>
        </w:tc>
        <w:tc>
          <w:tcPr>
            <w:tcW w:w="284" w:type="dxa"/>
          </w:tcPr>
          <w:p w14:paraId="678E9AA5">
            <w:pPr>
              <w:spacing w:after="0" w:line="240" w:lineRule="auto"/>
              <w:rPr>
                <w:rFonts w:cs="Times New Roman" w:asciiTheme="majorHAnsi" w:hAnsiTheme="majorHAnsi"/>
                <w:sz w:val="24"/>
                <w:szCs w:val="24"/>
              </w:rPr>
            </w:pPr>
            <w:r>
              <w:rPr>
                <w:rFonts w:cs="Times New Roman" w:asciiTheme="majorHAnsi" w:hAnsiTheme="majorHAnsi"/>
                <w:sz w:val="24"/>
                <w:szCs w:val="24"/>
              </w:rPr>
              <w:t>:</w:t>
            </w:r>
          </w:p>
        </w:tc>
        <w:tc>
          <w:tcPr>
            <w:tcW w:w="5890" w:type="dxa"/>
          </w:tcPr>
          <w:p w14:paraId="64CF9118">
            <w:pPr>
              <w:spacing w:after="0" w:line="240" w:lineRule="auto"/>
              <w:rPr>
                <w:rFonts w:cs="Times New Roman" w:asciiTheme="majorHAnsi" w:hAnsiTheme="majorHAnsi"/>
                <w:sz w:val="24"/>
                <w:szCs w:val="24"/>
              </w:rPr>
            </w:pPr>
            <w:r>
              <w:rPr>
                <w:rFonts w:cs="Times New Roman" w:asciiTheme="majorHAnsi" w:hAnsiTheme="majorHAnsi"/>
                <w:sz w:val="24"/>
                <w:szCs w:val="24"/>
              </w:rPr>
              <w:t>Standard deviation</w:t>
            </w:r>
          </w:p>
        </w:tc>
      </w:tr>
    </w:tbl>
    <w:p w14:paraId="7649B464">
      <w:pPr>
        <w:spacing w:after="0" w:line="240" w:lineRule="auto"/>
        <w:jc w:val="both"/>
        <w:rPr>
          <w:rFonts w:eastAsia="Times New Roman" w:cs="Times New Roman" w:asciiTheme="majorHAnsi" w:hAnsiTheme="majorHAnsi"/>
          <w:sz w:val="24"/>
          <w:szCs w:val="24"/>
          <w:lang w:val="en-US"/>
        </w:rPr>
      </w:pPr>
    </w:p>
    <w:p w14:paraId="049A6721">
      <w:pPr>
        <w:spacing w:after="0" w:line="240" w:lineRule="auto"/>
        <w:ind w:firstLine="567"/>
        <w:jc w:val="both"/>
        <w:rPr>
          <w:rFonts w:eastAsia="Times New Roman" w:cs="Times New Roman" w:asciiTheme="majorHAnsi" w:hAnsiTheme="majorHAnsi"/>
          <w:sz w:val="24"/>
          <w:szCs w:val="24"/>
        </w:rPr>
      </w:pPr>
      <w:r>
        <w:rPr>
          <w:rFonts w:eastAsia="Times New Roman" w:cs="Times New Roman" w:asciiTheme="majorHAnsi" w:hAnsiTheme="majorHAnsi"/>
          <w:sz w:val="24"/>
          <w:szCs w:val="24"/>
        </w:rPr>
        <w:t>The results of this data analysis will be used to describe the level of students' understanding of mathematical concepts. For example, based on Table 1, it was found that students with X values ​​greater than (𝑥̅ + SD) were categorized as high ability, indicating good conceptual understanding, while students with X values ​​smaller than (𝑥̅ - SD) were categorized as low ability, indicating more limited understanding.</w:t>
      </w:r>
    </w:p>
    <w:p w14:paraId="63098033">
      <w:pPr>
        <w:spacing w:after="0" w:line="240" w:lineRule="auto"/>
        <w:ind w:firstLine="567"/>
        <w:jc w:val="both"/>
        <w:rPr>
          <w:rFonts w:eastAsia="Times New Roman" w:cs="Times New Roman" w:asciiTheme="majorHAnsi" w:hAnsiTheme="majorHAnsi"/>
          <w:sz w:val="24"/>
          <w:szCs w:val="24"/>
        </w:rPr>
      </w:pPr>
      <w:r>
        <w:rPr>
          <w:rFonts w:eastAsia="Times New Roman" w:cs="Times New Roman" w:asciiTheme="majorHAnsi" w:hAnsiTheme="majorHAnsi"/>
          <w:sz w:val="24"/>
          <w:szCs w:val="24"/>
          <w:lang w:val="en-US"/>
        </w:rPr>
        <w:t xml:space="preserve"> </w:t>
      </w:r>
    </w:p>
    <w:p w14:paraId="01FE05E9">
      <w:pPr>
        <w:spacing w:after="0" w:line="240" w:lineRule="auto"/>
        <w:rPr>
          <w:rFonts w:ascii="Cambria" w:hAnsi="Cambria" w:eastAsia="Cambria" w:cs="Cambria"/>
          <w:sz w:val="24"/>
          <w:szCs w:val="24"/>
        </w:rPr>
      </w:pPr>
      <w:r>
        <w:rPr>
          <w:rFonts w:ascii="Cambria" w:hAnsi="Cambria" w:eastAsia="Cambria" w:cs="Cambria"/>
          <w:b/>
          <w:sz w:val="24"/>
          <w:szCs w:val="24"/>
        </w:rPr>
        <w:t>Results and Discussion</w:t>
      </w:r>
    </w:p>
    <w:p w14:paraId="093559FF">
      <w:pPr>
        <w:spacing w:after="0" w:line="240" w:lineRule="auto"/>
        <w:rPr>
          <w:rFonts w:ascii="Cambria" w:hAnsi="Cambria" w:eastAsia="Cambria" w:cs="Cambria"/>
          <w:b/>
          <w:bCs/>
          <w:i/>
          <w:sz w:val="24"/>
          <w:szCs w:val="24"/>
        </w:rPr>
      </w:pPr>
      <w:r>
        <w:rPr>
          <w:rFonts w:ascii="Cambria" w:hAnsi="Cambria" w:eastAsia="Cambria" w:cs="Cambria"/>
          <w:b/>
          <w:bCs/>
          <w:i/>
          <w:sz w:val="24"/>
          <w:szCs w:val="24"/>
        </w:rPr>
        <w:t>Results</w:t>
      </w:r>
    </w:p>
    <w:p w14:paraId="5ECA2E67">
      <w:pPr>
        <w:tabs>
          <w:tab w:val="left" w:pos="567"/>
        </w:tabs>
        <w:spacing w:after="0" w:line="240" w:lineRule="auto"/>
        <w:ind w:firstLine="720"/>
        <w:jc w:val="both"/>
        <w:rPr>
          <w:rFonts w:eastAsia="Cambria" w:cs="Cambria" w:asciiTheme="majorHAnsi" w:hAnsiTheme="majorHAnsi"/>
          <w:sz w:val="24"/>
          <w:szCs w:val="24"/>
        </w:rPr>
      </w:pPr>
      <w:r>
        <w:rPr>
          <w:rFonts w:eastAsia="Cambria" w:cs="Cambria" w:asciiTheme="majorHAnsi" w:hAnsiTheme="majorHAnsi"/>
          <w:sz w:val="24"/>
          <w:szCs w:val="24"/>
        </w:rPr>
        <w:t>Based on research conducted to measure students' mathematical concept understanding abilities on integer material, the measurement results are shown in Table 2 below:</w:t>
      </w:r>
    </w:p>
    <w:p w14:paraId="47B3BCCB">
      <w:pPr>
        <w:tabs>
          <w:tab w:val="left" w:pos="567"/>
        </w:tabs>
        <w:spacing w:after="0" w:line="240" w:lineRule="auto"/>
        <w:ind w:firstLine="720"/>
        <w:jc w:val="both"/>
        <w:rPr>
          <w:rFonts w:eastAsia="Cambria" w:cs="Cambria" w:asciiTheme="majorHAnsi" w:hAnsiTheme="majorHAnsi"/>
          <w:sz w:val="24"/>
          <w:szCs w:val="24"/>
        </w:rPr>
      </w:pPr>
    </w:p>
    <w:p w14:paraId="0D63210B">
      <w:pPr>
        <w:spacing w:after="0" w:line="240" w:lineRule="auto"/>
        <w:jc w:val="both"/>
        <w:rPr>
          <w:rFonts w:eastAsia="Times New Roman" w:cs="Times New Roman" w:asciiTheme="majorHAnsi" w:hAnsiTheme="majorHAnsi"/>
          <w:b/>
          <w:sz w:val="24"/>
          <w:szCs w:val="24"/>
          <w:lang w:val="en-US"/>
        </w:rPr>
      </w:pPr>
      <w:r>
        <w:rPr>
          <w:rFonts w:eastAsia="Times New Roman" w:cs="Times New Roman" w:asciiTheme="majorHAnsi" w:hAnsiTheme="majorHAnsi"/>
          <w:b w:val="0"/>
          <w:bCs/>
          <w:sz w:val="24"/>
          <w:szCs w:val="24"/>
          <w:lang w:val="en-US"/>
        </w:rPr>
        <w:t xml:space="preserve">Table 2. </w:t>
      </w:r>
      <w:r>
        <w:rPr>
          <w:rFonts w:eastAsia="Times New Roman" w:cs="Times New Roman" w:asciiTheme="majorHAnsi" w:hAnsiTheme="majorHAnsi"/>
          <w:b w:val="0"/>
          <w:bCs/>
          <w:sz w:val="24"/>
          <w:szCs w:val="24"/>
        </w:rPr>
        <w:t>Ab</w:t>
      </w:r>
      <w:r>
        <w:rPr>
          <w:rFonts w:eastAsia="Times New Roman" w:cs="Times New Roman" w:asciiTheme="majorHAnsi" w:hAnsiTheme="majorHAnsi"/>
          <w:bCs/>
          <w:sz w:val="24"/>
          <w:szCs w:val="24"/>
        </w:rPr>
        <w:t>ility test result description</w:t>
      </w:r>
      <w:r>
        <w:rPr>
          <w:rFonts w:eastAsia="Times New Roman" w:cs="Times New Roman" w:asciiTheme="majorHAnsi" w:hAnsiTheme="majorHAnsi"/>
          <w:sz w:val="24"/>
          <w:szCs w:val="24"/>
          <w:lang w:val="en-US"/>
        </w:rPr>
        <w:t>students' understanding of mathematical concepts</w:t>
      </w:r>
    </w:p>
    <w:tbl>
      <w:tblPr>
        <w:tblStyle w:val="9"/>
        <w:tblW w:w="8552"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75"/>
        <w:gridCol w:w="1035"/>
        <w:gridCol w:w="1419"/>
        <w:gridCol w:w="1453"/>
        <w:gridCol w:w="1186"/>
        <w:gridCol w:w="1384"/>
      </w:tblGrid>
      <w:tr w14:paraId="07EB426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2075" w:type="dxa"/>
            <w:tcBorders>
              <w:top w:val="single" w:color="auto" w:sz="4" w:space="0"/>
              <w:left w:val="nil"/>
              <w:bottom w:val="single" w:color="auto" w:sz="4" w:space="0"/>
              <w:right w:val="nil"/>
            </w:tcBorders>
            <w:vAlign w:val="center"/>
          </w:tcPr>
          <w:p w14:paraId="2EF76250">
            <w:pPr>
              <w:spacing w:after="0" w:line="240" w:lineRule="auto"/>
              <w:rPr>
                <w:rFonts w:eastAsia="Times New Roman" w:cs="Times New Roman" w:asciiTheme="majorHAnsi" w:hAnsiTheme="majorHAnsi"/>
                <w:b/>
                <w:bCs w:val="0"/>
                <w:sz w:val="24"/>
                <w:szCs w:val="24"/>
                <w:lang w:val="en-US"/>
              </w:rPr>
            </w:pPr>
          </w:p>
        </w:tc>
        <w:tc>
          <w:tcPr>
            <w:tcW w:w="1035" w:type="dxa"/>
            <w:tcBorders>
              <w:top w:val="single" w:color="auto" w:sz="4" w:space="0"/>
              <w:left w:val="nil"/>
              <w:bottom w:val="single" w:color="auto" w:sz="4" w:space="0"/>
              <w:right w:val="nil"/>
            </w:tcBorders>
          </w:tcPr>
          <w:p w14:paraId="63835D32">
            <w:pPr>
              <w:spacing w:after="0" w:line="240" w:lineRule="auto"/>
              <w:ind w:firstLine="30"/>
              <w:jc w:val="center"/>
              <w:rPr>
                <w:rFonts w:eastAsia="Times New Roman" w:cs="Times New Roman" w:asciiTheme="majorHAnsi" w:hAnsiTheme="majorHAnsi"/>
                <w:b/>
                <w:bCs w:val="0"/>
                <w:sz w:val="24"/>
                <w:szCs w:val="24"/>
                <w:lang w:val="en-US"/>
              </w:rPr>
            </w:pPr>
            <w:r>
              <w:rPr>
                <w:rFonts w:eastAsia="Times New Roman" w:cs="Times New Roman" w:asciiTheme="majorHAnsi" w:hAnsiTheme="majorHAnsi"/>
                <w:b/>
                <w:bCs w:val="0"/>
                <w:sz w:val="24"/>
                <w:szCs w:val="24"/>
                <w:lang w:val="en-US"/>
              </w:rPr>
              <w:t>N</w:t>
            </w:r>
          </w:p>
        </w:tc>
        <w:tc>
          <w:tcPr>
            <w:tcW w:w="1419" w:type="dxa"/>
            <w:tcBorders>
              <w:top w:val="single" w:color="auto" w:sz="4" w:space="0"/>
              <w:left w:val="nil"/>
              <w:bottom w:val="single" w:color="auto" w:sz="4" w:space="0"/>
              <w:right w:val="nil"/>
            </w:tcBorders>
          </w:tcPr>
          <w:p w14:paraId="419B219A">
            <w:pPr>
              <w:spacing w:after="0" w:line="240" w:lineRule="auto"/>
              <w:ind w:firstLine="30"/>
              <w:jc w:val="center"/>
              <w:rPr>
                <w:rFonts w:eastAsia="Times New Roman" w:cs="Times New Roman" w:asciiTheme="majorHAnsi" w:hAnsiTheme="majorHAnsi"/>
                <w:b/>
                <w:bCs w:val="0"/>
                <w:sz w:val="24"/>
                <w:szCs w:val="24"/>
                <w:lang w:val="en-US"/>
              </w:rPr>
            </w:pPr>
            <w:r>
              <w:rPr>
                <w:rFonts w:eastAsia="Times New Roman" w:cs="Times New Roman" w:asciiTheme="majorHAnsi" w:hAnsiTheme="majorHAnsi"/>
                <w:b/>
                <w:bCs w:val="0"/>
                <w:sz w:val="24"/>
                <w:szCs w:val="24"/>
                <w:lang w:val="en-US"/>
              </w:rPr>
              <w:t>Minimum Value</w:t>
            </w:r>
          </w:p>
        </w:tc>
        <w:tc>
          <w:tcPr>
            <w:tcW w:w="1453" w:type="dxa"/>
            <w:tcBorders>
              <w:top w:val="single" w:color="auto" w:sz="4" w:space="0"/>
              <w:left w:val="nil"/>
              <w:bottom w:val="single" w:color="auto" w:sz="4" w:space="0"/>
              <w:right w:val="nil"/>
            </w:tcBorders>
          </w:tcPr>
          <w:p w14:paraId="7764F3FF">
            <w:pPr>
              <w:spacing w:after="0" w:line="240" w:lineRule="auto"/>
              <w:ind w:firstLine="30"/>
              <w:jc w:val="center"/>
              <w:rPr>
                <w:rFonts w:eastAsia="Times New Roman" w:cs="Times New Roman" w:asciiTheme="majorHAnsi" w:hAnsiTheme="majorHAnsi"/>
                <w:b/>
                <w:bCs w:val="0"/>
                <w:sz w:val="24"/>
                <w:szCs w:val="24"/>
                <w:lang w:val="en-US"/>
              </w:rPr>
            </w:pPr>
            <w:r>
              <w:rPr>
                <w:rFonts w:eastAsia="Times New Roman" w:cs="Times New Roman" w:asciiTheme="majorHAnsi" w:hAnsiTheme="majorHAnsi"/>
                <w:b/>
                <w:bCs w:val="0"/>
                <w:sz w:val="24"/>
                <w:szCs w:val="24"/>
                <w:lang w:val="en-US"/>
              </w:rPr>
              <w:t>Maximum Value</w:t>
            </w:r>
          </w:p>
        </w:tc>
        <w:tc>
          <w:tcPr>
            <w:tcW w:w="1186" w:type="dxa"/>
            <w:tcBorders>
              <w:top w:val="single" w:color="auto" w:sz="4" w:space="0"/>
              <w:left w:val="nil"/>
              <w:bottom w:val="single" w:color="auto" w:sz="4" w:space="0"/>
              <w:right w:val="nil"/>
            </w:tcBorders>
          </w:tcPr>
          <w:p w14:paraId="76F182C8">
            <w:pPr>
              <w:spacing w:after="0" w:line="240" w:lineRule="auto"/>
              <w:ind w:firstLine="30"/>
              <w:jc w:val="center"/>
              <w:rPr>
                <w:rFonts w:eastAsia="Times New Roman" w:cs="Times New Roman" w:asciiTheme="majorHAnsi" w:hAnsiTheme="majorHAnsi"/>
                <w:b/>
                <w:bCs w:val="0"/>
                <w:sz w:val="24"/>
                <w:szCs w:val="24"/>
                <w:lang w:val="en-US"/>
              </w:rPr>
            </w:pPr>
            <w:r>
              <w:rPr>
                <w:rFonts w:eastAsia="Times New Roman" w:cs="Times New Roman" w:asciiTheme="majorHAnsi" w:hAnsiTheme="majorHAnsi"/>
                <w:b/>
                <w:bCs w:val="0"/>
                <w:sz w:val="24"/>
                <w:szCs w:val="24"/>
                <w:lang w:val="en-US"/>
              </w:rPr>
              <w:t>Average</w:t>
            </w:r>
          </w:p>
        </w:tc>
        <w:tc>
          <w:tcPr>
            <w:tcW w:w="1384" w:type="dxa"/>
            <w:tcBorders>
              <w:top w:val="single" w:color="auto" w:sz="4" w:space="0"/>
              <w:left w:val="nil"/>
              <w:bottom w:val="single" w:color="auto" w:sz="4" w:space="0"/>
              <w:right w:val="nil"/>
            </w:tcBorders>
          </w:tcPr>
          <w:p w14:paraId="2A332A52">
            <w:pPr>
              <w:spacing w:after="0" w:line="240" w:lineRule="auto"/>
              <w:ind w:firstLine="30"/>
              <w:jc w:val="center"/>
              <w:rPr>
                <w:rFonts w:eastAsia="Times New Roman" w:cs="Times New Roman" w:asciiTheme="majorHAnsi" w:hAnsiTheme="majorHAnsi"/>
                <w:b/>
                <w:bCs w:val="0"/>
                <w:sz w:val="24"/>
                <w:szCs w:val="24"/>
                <w:lang w:val="en-US"/>
              </w:rPr>
            </w:pPr>
            <w:r>
              <w:rPr>
                <w:rFonts w:eastAsia="Times New Roman" w:cs="Times New Roman" w:asciiTheme="majorHAnsi" w:hAnsiTheme="majorHAnsi"/>
                <w:b/>
                <w:bCs w:val="0"/>
                <w:sz w:val="24"/>
                <w:szCs w:val="24"/>
                <w:lang w:val="en-US"/>
              </w:rPr>
              <w:t>Standard Deviation</w:t>
            </w:r>
          </w:p>
        </w:tc>
      </w:tr>
      <w:tr w14:paraId="6F54B8C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2075" w:type="dxa"/>
            <w:tcBorders>
              <w:top w:val="single" w:color="auto" w:sz="4" w:space="0"/>
              <w:left w:val="nil"/>
              <w:bottom w:val="single" w:color="auto" w:sz="4" w:space="0"/>
              <w:right w:val="nil"/>
            </w:tcBorders>
            <w:vAlign w:val="bottom"/>
          </w:tcPr>
          <w:p w14:paraId="675F9FF1">
            <w:pPr>
              <w:spacing w:after="0" w:line="240" w:lineRule="auto"/>
              <w:rPr>
                <w:rFonts w:eastAsia="Times New Roman" w:cs="Times New Roman" w:asciiTheme="majorHAnsi" w:hAnsiTheme="majorHAnsi"/>
                <w:sz w:val="24"/>
                <w:szCs w:val="24"/>
              </w:rPr>
            </w:pPr>
            <w:r>
              <w:rPr>
                <w:rFonts w:eastAsia="Times New Roman" w:cs="Times New Roman" w:asciiTheme="majorHAnsi" w:hAnsiTheme="majorHAnsi"/>
                <w:sz w:val="24"/>
                <w:szCs w:val="24"/>
                <w:lang w:val="en-US"/>
              </w:rPr>
              <w:t>Mathematical Concept Understanding Ability Test Score</w:t>
            </w:r>
          </w:p>
        </w:tc>
        <w:tc>
          <w:tcPr>
            <w:tcW w:w="1035" w:type="dxa"/>
            <w:tcBorders>
              <w:top w:val="single" w:color="auto" w:sz="4" w:space="0"/>
              <w:left w:val="nil"/>
              <w:bottom w:val="single" w:color="auto" w:sz="4" w:space="0"/>
              <w:right w:val="nil"/>
            </w:tcBorders>
            <w:vAlign w:val="center"/>
          </w:tcPr>
          <w:p w14:paraId="5A87CCAC">
            <w:pPr>
              <w:spacing w:after="0" w:line="240" w:lineRule="auto"/>
              <w:ind w:firstLine="30"/>
              <w:jc w:val="center"/>
              <w:rPr>
                <w:rFonts w:eastAsia="Times New Roman" w:cs="Times New Roman" w:asciiTheme="majorHAnsi" w:hAnsiTheme="majorHAnsi"/>
                <w:sz w:val="24"/>
                <w:szCs w:val="24"/>
                <w:lang w:val="en-US"/>
              </w:rPr>
            </w:pPr>
            <w:r>
              <w:rPr>
                <w:rFonts w:eastAsia="Times New Roman" w:cs="Times New Roman" w:asciiTheme="majorHAnsi" w:hAnsiTheme="majorHAnsi"/>
                <w:sz w:val="24"/>
                <w:szCs w:val="24"/>
                <w:lang w:val="en-US"/>
              </w:rPr>
              <w:t>35</w:t>
            </w:r>
          </w:p>
        </w:tc>
        <w:tc>
          <w:tcPr>
            <w:tcW w:w="1419" w:type="dxa"/>
            <w:tcBorders>
              <w:top w:val="single" w:color="auto" w:sz="4" w:space="0"/>
              <w:left w:val="nil"/>
              <w:bottom w:val="single" w:color="auto" w:sz="4" w:space="0"/>
              <w:right w:val="nil"/>
            </w:tcBorders>
            <w:vAlign w:val="center"/>
          </w:tcPr>
          <w:p w14:paraId="26C3C072">
            <w:pPr>
              <w:spacing w:after="0" w:line="240" w:lineRule="auto"/>
              <w:ind w:firstLine="30"/>
              <w:rPr>
                <w:rFonts w:eastAsia="Times New Roman" w:cs="Times New Roman" w:asciiTheme="majorHAnsi" w:hAnsiTheme="majorHAnsi"/>
                <w:sz w:val="24"/>
                <w:szCs w:val="24"/>
                <w:lang w:val="en-US"/>
              </w:rPr>
            </w:pPr>
            <w:r>
              <w:rPr>
                <w:rFonts w:eastAsia="Times New Roman" w:cs="Times New Roman" w:asciiTheme="majorHAnsi" w:hAnsiTheme="majorHAnsi"/>
                <w:sz w:val="24"/>
                <w:szCs w:val="24"/>
                <w:lang w:val="en-US"/>
              </w:rPr>
              <w:t xml:space="preserve">     0.00</w:t>
            </w:r>
          </w:p>
        </w:tc>
        <w:tc>
          <w:tcPr>
            <w:tcW w:w="1453" w:type="dxa"/>
            <w:tcBorders>
              <w:top w:val="single" w:color="auto" w:sz="4" w:space="0"/>
              <w:left w:val="nil"/>
              <w:bottom w:val="single" w:color="auto" w:sz="4" w:space="0"/>
              <w:right w:val="nil"/>
            </w:tcBorders>
            <w:vAlign w:val="center"/>
          </w:tcPr>
          <w:p w14:paraId="3EBAA6B6">
            <w:pPr>
              <w:spacing w:after="0" w:line="240" w:lineRule="auto"/>
              <w:ind w:firstLine="30"/>
              <w:jc w:val="center"/>
              <w:rPr>
                <w:rFonts w:eastAsia="Times New Roman" w:cs="Times New Roman" w:asciiTheme="majorHAnsi" w:hAnsiTheme="majorHAnsi"/>
                <w:sz w:val="24"/>
                <w:szCs w:val="24"/>
                <w:lang w:val="en-US"/>
              </w:rPr>
            </w:pPr>
            <w:r>
              <w:rPr>
                <w:rFonts w:eastAsia="Times New Roman" w:cs="Times New Roman" w:asciiTheme="majorHAnsi" w:hAnsiTheme="majorHAnsi"/>
                <w:sz w:val="24"/>
                <w:szCs w:val="24"/>
                <w:lang w:val="en-US"/>
              </w:rPr>
              <w:t>92</w:t>
            </w:r>
          </w:p>
        </w:tc>
        <w:tc>
          <w:tcPr>
            <w:tcW w:w="1186" w:type="dxa"/>
            <w:tcBorders>
              <w:top w:val="single" w:color="auto" w:sz="4" w:space="0"/>
              <w:left w:val="nil"/>
              <w:bottom w:val="single" w:color="auto" w:sz="4" w:space="0"/>
              <w:right w:val="nil"/>
            </w:tcBorders>
            <w:vAlign w:val="center"/>
          </w:tcPr>
          <w:p w14:paraId="199A7108">
            <w:pPr>
              <w:spacing w:after="0" w:line="240" w:lineRule="auto"/>
              <w:ind w:firstLine="30"/>
              <w:jc w:val="center"/>
              <w:rPr>
                <w:rFonts w:eastAsia="Times New Roman" w:cs="Times New Roman" w:asciiTheme="majorHAnsi" w:hAnsiTheme="majorHAnsi"/>
                <w:sz w:val="24"/>
                <w:szCs w:val="24"/>
                <w:lang w:val="en-US"/>
              </w:rPr>
            </w:pPr>
            <w:r>
              <w:rPr>
                <w:rFonts w:eastAsia="Times New Roman" w:cs="Times New Roman" w:asciiTheme="majorHAnsi" w:hAnsiTheme="majorHAnsi"/>
                <w:sz w:val="24"/>
                <w:szCs w:val="24"/>
                <w:lang w:val="en-US"/>
              </w:rPr>
              <w:t>69.05</w:t>
            </w:r>
          </w:p>
        </w:tc>
        <w:tc>
          <w:tcPr>
            <w:tcW w:w="1384" w:type="dxa"/>
            <w:tcBorders>
              <w:top w:val="single" w:color="auto" w:sz="4" w:space="0"/>
              <w:left w:val="nil"/>
              <w:bottom w:val="single" w:color="auto" w:sz="4" w:space="0"/>
              <w:right w:val="nil"/>
            </w:tcBorders>
            <w:vAlign w:val="center"/>
          </w:tcPr>
          <w:p w14:paraId="54EEFC5F">
            <w:pPr>
              <w:spacing w:after="0" w:line="240" w:lineRule="auto"/>
              <w:ind w:firstLine="30"/>
              <w:jc w:val="center"/>
              <w:rPr>
                <w:rFonts w:eastAsia="Times New Roman" w:cs="Times New Roman" w:asciiTheme="majorHAnsi" w:hAnsiTheme="majorHAnsi"/>
                <w:sz w:val="24"/>
                <w:szCs w:val="24"/>
                <w:lang w:val="en-US"/>
              </w:rPr>
            </w:pPr>
            <w:r>
              <w:rPr>
                <w:rFonts w:eastAsia="Times New Roman" w:cs="Times New Roman" w:asciiTheme="majorHAnsi" w:hAnsiTheme="majorHAnsi"/>
                <w:sz w:val="24"/>
                <w:szCs w:val="24"/>
                <w:lang w:val="en-US"/>
              </w:rPr>
              <w:t>20.27</w:t>
            </w:r>
          </w:p>
        </w:tc>
      </w:tr>
    </w:tbl>
    <w:p w14:paraId="6A8824EB">
      <w:pPr>
        <w:spacing w:before="240" w:after="0" w:line="240" w:lineRule="auto"/>
        <w:ind w:firstLine="720"/>
        <w:jc w:val="both"/>
        <w:rPr>
          <w:rFonts w:eastAsia="Times New Roman" w:cs="Times New Roman" w:asciiTheme="majorHAnsi" w:hAnsiTheme="majorHAnsi"/>
          <w:sz w:val="24"/>
          <w:szCs w:val="24"/>
          <w:lang w:val="en-US"/>
        </w:rPr>
      </w:pPr>
      <w:r>
        <w:rPr>
          <w:rFonts w:eastAsia="Times New Roman" w:cs="Times New Roman" w:asciiTheme="majorHAnsi" w:hAnsiTheme="majorHAnsi"/>
          <w:sz w:val="24"/>
          <w:szCs w:val="24"/>
          <w:lang w:val="en-US"/>
        </w:rPr>
        <w:t>Based on Table 2, the results of the students' mathematical concept understanding ability test show that the average value obtained is 69.05 with a standard deviation of 20.27. This value is still below the Minimum Completion Criteria (KKM) set by the school, which is 75. This indicates that overall, students' mathematical concept understanding ability has not yet reached the expected completion standard.</w:t>
      </w:r>
      <w:r>
        <w:rPr>
          <w:rFonts w:hint="default" w:eastAsia="Times New Roman" w:cs="Times New Roman" w:asciiTheme="majorHAnsi" w:hAnsiTheme="majorHAnsi"/>
          <w:sz w:val="24"/>
          <w:szCs w:val="24"/>
          <w:lang w:val="en-US"/>
        </w:rPr>
        <w:t xml:space="preserve"> </w:t>
      </w:r>
      <w:r>
        <w:rPr>
          <w:rFonts w:eastAsia="Times New Roman" w:cs="Times New Roman" w:asciiTheme="majorHAnsi" w:hAnsiTheme="majorHAnsi"/>
          <w:sz w:val="24"/>
          <w:szCs w:val="24"/>
          <w:lang w:val="en-US"/>
        </w:rPr>
        <w:t>Furthermore, to determine the distribution of students' mathematical concept understanding abilities, they were grouped into three categories, namely high, medium, and low, as shown in Table 3 below:</w:t>
      </w:r>
    </w:p>
    <w:p w14:paraId="03FD43DC">
      <w:pPr>
        <w:spacing w:before="40" w:after="0" w:line="240" w:lineRule="auto"/>
        <w:jc w:val="both"/>
        <w:rPr>
          <w:rFonts w:eastAsia="Times New Roman" w:cs="Times New Roman" w:asciiTheme="majorHAnsi" w:hAnsiTheme="majorHAnsi"/>
          <w:sz w:val="24"/>
          <w:szCs w:val="24"/>
          <w:lang w:val="en-US"/>
        </w:rPr>
      </w:pPr>
    </w:p>
    <w:p w14:paraId="26210566">
      <w:pPr>
        <w:spacing w:before="40" w:after="0" w:line="240" w:lineRule="auto"/>
        <w:jc w:val="left"/>
        <w:rPr>
          <w:rFonts w:eastAsia="Times New Roman" w:cs="Times New Roman" w:asciiTheme="majorHAnsi" w:hAnsiTheme="majorHAnsi"/>
          <w:color w:val="000000"/>
          <w:sz w:val="24"/>
          <w:szCs w:val="24"/>
          <w:lang w:val="en-US"/>
        </w:rPr>
      </w:pPr>
      <w:r>
        <w:rPr>
          <w:rFonts w:eastAsia="Times New Roman" w:cs="Times New Roman" w:asciiTheme="majorHAnsi" w:hAnsiTheme="majorHAnsi"/>
          <w:b w:val="0"/>
          <w:bCs/>
          <w:color w:val="000000"/>
          <w:sz w:val="24"/>
          <w:szCs w:val="24"/>
        </w:rPr>
        <w:t xml:space="preserve">Table 3. </w:t>
      </w:r>
      <w:r>
        <w:rPr>
          <w:rFonts w:eastAsia="Times New Roman" w:cs="Times New Roman" w:asciiTheme="majorHAnsi" w:hAnsiTheme="majorHAnsi"/>
          <w:b w:val="0"/>
          <w:bCs/>
          <w:color w:val="000000"/>
          <w:sz w:val="24"/>
          <w:szCs w:val="24"/>
          <w:lang w:val="en-US"/>
        </w:rPr>
        <w:t>Level o</w:t>
      </w:r>
      <w:r>
        <w:rPr>
          <w:rFonts w:eastAsia="Times New Roman" w:cs="Times New Roman" w:asciiTheme="majorHAnsi" w:hAnsiTheme="majorHAnsi"/>
          <w:color w:val="000000"/>
          <w:sz w:val="24"/>
          <w:szCs w:val="24"/>
          <w:lang w:val="en-US"/>
        </w:rPr>
        <w:t>f students' mathematical concept understanding ability</w:t>
      </w:r>
    </w:p>
    <w:tbl>
      <w:tblPr>
        <w:tblStyle w:val="37"/>
        <w:tblW w:w="8505"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276"/>
        <w:gridCol w:w="2693"/>
        <w:gridCol w:w="1701"/>
        <w:gridCol w:w="2835"/>
      </w:tblGrid>
      <w:tr w14:paraId="3EFC89B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09" w:hRule="atLeast"/>
        </w:trPr>
        <w:tc>
          <w:tcPr>
            <w:tcW w:w="1276" w:type="dxa"/>
            <w:vAlign w:val="center"/>
          </w:tcPr>
          <w:p w14:paraId="5BD8CF8D">
            <w:pPr>
              <w:spacing w:after="0" w:line="240" w:lineRule="auto"/>
              <w:jc w:val="center"/>
              <w:rPr>
                <w:rFonts w:eastAsia="Times New Roman" w:cs="Times New Roman" w:asciiTheme="majorHAnsi" w:hAnsiTheme="majorHAnsi"/>
                <w:b/>
                <w:bCs/>
                <w:color w:val="000000"/>
                <w:sz w:val="24"/>
                <w:szCs w:val="24"/>
                <w:lang w:val="en-US"/>
              </w:rPr>
            </w:pPr>
            <w:r>
              <w:rPr>
                <w:rFonts w:eastAsia="Times New Roman" w:cs="Times New Roman" w:asciiTheme="majorHAnsi" w:hAnsiTheme="majorHAnsi"/>
                <w:b/>
                <w:bCs/>
                <w:color w:val="000000"/>
                <w:sz w:val="24"/>
                <w:szCs w:val="24"/>
                <w:lang w:val="en-US"/>
              </w:rPr>
              <w:t>Category</w:t>
            </w:r>
          </w:p>
        </w:tc>
        <w:tc>
          <w:tcPr>
            <w:tcW w:w="2693" w:type="dxa"/>
            <w:vAlign w:val="center"/>
          </w:tcPr>
          <w:p w14:paraId="279F4897">
            <w:pPr>
              <w:spacing w:after="0" w:line="240" w:lineRule="auto"/>
              <w:jc w:val="center"/>
              <w:rPr>
                <w:rFonts w:eastAsia="Times New Roman" w:cs="Times New Roman" w:asciiTheme="majorHAnsi" w:hAnsiTheme="majorHAnsi"/>
                <w:b/>
                <w:bCs/>
                <w:color w:val="000000"/>
                <w:sz w:val="24"/>
                <w:szCs w:val="24"/>
                <w:lang w:val="en-US"/>
              </w:rPr>
            </w:pPr>
            <w:r>
              <w:rPr>
                <w:rFonts w:eastAsia="Times New Roman" w:cs="Times New Roman" w:asciiTheme="majorHAnsi" w:hAnsiTheme="majorHAnsi"/>
                <w:b/>
                <w:bCs/>
                <w:color w:val="000000"/>
                <w:sz w:val="24"/>
                <w:szCs w:val="24"/>
                <w:lang w:val="en-US"/>
              </w:rPr>
              <w:t>Value Limit</w:t>
            </w:r>
          </w:p>
        </w:tc>
        <w:tc>
          <w:tcPr>
            <w:tcW w:w="1701" w:type="dxa"/>
            <w:vAlign w:val="center"/>
          </w:tcPr>
          <w:p w14:paraId="24B07FB4">
            <w:pPr>
              <w:spacing w:after="0" w:line="240" w:lineRule="auto"/>
              <w:jc w:val="center"/>
              <w:rPr>
                <w:rFonts w:eastAsia="Times New Roman" w:cs="Times New Roman" w:asciiTheme="majorHAnsi" w:hAnsiTheme="majorHAnsi"/>
                <w:b/>
                <w:bCs/>
                <w:color w:val="000000"/>
                <w:sz w:val="24"/>
                <w:szCs w:val="24"/>
                <w:lang w:val="en-US"/>
              </w:rPr>
            </w:pPr>
            <w:r>
              <w:rPr>
                <w:rFonts w:eastAsia="Times New Roman" w:cs="Times New Roman" w:asciiTheme="majorHAnsi" w:hAnsiTheme="majorHAnsi"/>
                <w:b/>
                <w:bCs/>
                <w:color w:val="000000"/>
                <w:sz w:val="24"/>
                <w:szCs w:val="24"/>
                <w:lang w:val="en-US"/>
              </w:rPr>
              <w:t>Number of students</w:t>
            </w:r>
          </w:p>
        </w:tc>
        <w:tc>
          <w:tcPr>
            <w:tcW w:w="2835" w:type="dxa"/>
            <w:vAlign w:val="center"/>
          </w:tcPr>
          <w:p w14:paraId="221FF4BC">
            <w:pPr>
              <w:spacing w:after="0" w:line="240" w:lineRule="auto"/>
              <w:jc w:val="center"/>
              <w:rPr>
                <w:rFonts w:eastAsia="Times New Roman" w:cs="Times New Roman" w:asciiTheme="majorHAnsi" w:hAnsiTheme="majorHAnsi"/>
                <w:b/>
                <w:bCs/>
                <w:color w:val="000000"/>
                <w:sz w:val="24"/>
                <w:szCs w:val="24"/>
                <w:lang w:val="en-US"/>
              </w:rPr>
            </w:pPr>
            <w:r>
              <w:rPr>
                <w:rFonts w:eastAsia="Times New Roman" w:cs="Times New Roman" w:asciiTheme="majorHAnsi" w:hAnsiTheme="majorHAnsi"/>
                <w:b/>
                <w:bCs/>
                <w:color w:val="000000"/>
                <w:sz w:val="24"/>
                <w:szCs w:val="24"/>
                <w:lang w:val="en-US"/>
              </w:rPr>
              <w:t>Percentage (%)</w:t>
            </w:r>
          </w:p>
        </w:tc>
      </w:tr>
      <w:tr w14:paraId="4C0CE0C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04" w:hRule="atLeast"/>
        </w:trPr>
        <w:tc>
          <w:tcPr>
            <w:tcW w:w="1276" w:type="dxa"/>
            <w:vAlign w:val="center"/>
          </w:tcPr>
          <w:p w14:paraId="793B2A62">
            <w:pPr>
              <w:spacing w:after="0" w:line="240" w:lineRule="auto"/>
              <w:jc w:val="center"/>
              <w:rPr>
                <w:rFonts w:eastAsia="Times New Roman" w:cs="Times New Roman" w:asciiTheme="majorHAnsi" w:hAnsiTheme="majorHAnsi"/>
                <w:color w:val="000000"/>
                <w:sz w:val="24"/>
                <w:szCs w:val="24"/>
                <w:lang w:val="en-US"/>
              </w:rPr>
            </w:pPr>
            <w:r>
              <w:rPr>
                <w:rFonts w:eastAsia="Times New Roman" w:cs="Times New Roman" w:asciiTheme="majorHAnsi" w:hAnsiTheme="majorHAnsi"/>
                <w:color w:val="000000"/>
                <w:sz w:val="24"/>
                <w:szCs w:val="24"/>
                <w:lang w:val="en-US"/>
              </w:rPr>
              <w:t>Tall</w:t>
            </w:r>
          </w:p>
        </w:tc>
        <w:tc>
          <w:tcPr>
            <w:tcW w:w="2693" w:type="dxa"/>
            <w:vAlign w:val="center"/>
          </w:tcPr>
          <w:p w14:paraId="6DD5DEB2">
            <w:pPr>
              <w:spacing w:after="0" w:line="240" w:lineRule="auto"/>
              <w:jc w:val="center"/>
              <w:rPr>
                <w:rFonts w:eastAsia="Times New Roman" w:cs="Times New Roman" w:asciiTheme="majorHAnsi" w:hAnsiTheme="majorHAnsi"/>
                <w:color w:val="000000"/>
                <w:sz w:val="24"/>
                <w:szCs w:val="24"/>
                <w:lang w:val="en-US"/>
              </w:rPr>
            </w:pPr>
            <m:oMathPara>
              <m:oMath>
                <m:r>
                  <m:rPr/>
                  <w:rPr>
                    <w:rFonts w:ascii="Cambria Math" w:hAnsi="Cambria Math" w:eastAsia="Times New Roman" w:cs="Times New Roman"/>
                    <w:color w:val="000000"/>
                    <w:sz w:val="24"/>
                    <w:szCs w:val="24"/>
                    <w:lang w:val="en-US"/>
                  </w:rPr>
                  <m:t>X≥89,32</m:t>
                </m:r>
              </m:oMath>
            </m:oMathPara>
          </w:p>
        </w:tc>
        <w:tc>
          <w:tcPr>
            <w:tcW w:w="1701" w:type="dxa"/>
            <w:vAlign w:val="center"/>
          </w:tcPr>
          <w:p w14:paraId="40CD3E7C">
            <w:pPr>
              <w:spacing w:after="0" w:line="240" w:lineRule="auto"/>
              <w:jc w:val="center"/>
              <w:rPr>
                <w:rFonts w:eastAsia="Times New Roman" w:cs="Times New Roman" w:asciiTheme="majorHAnsi" w:hAnsiTheme="majorHAnsi"/>
                <w:color w:val="000000"/>
                <w:sz w:val="24"/>
                <w:szCs w:val="24"/>
                <w:lang w:val="en-US"/>
              </w:rPr>
            </w:pPr>
            <w:r>
              <w:rPr>
                <w:rFonts w:eastAsia="Times New Roman" w:cs="Times New Roman" w:asciiTheme="majorHAnsi" w:hAnsiTheme="majorHAnsi"/>
                <w:color w:val="000000"/>
                <w:sz w:val="24"/>
                <w:szCs w:val="24"/>
                <w:lang w:val="en-US"/>
              </w:rPr>
              <w:t>8</w:t>
            </w:r>
          </w:p>
        </w:tc>
        <w:tc>
          <w:tcPr>
            <w:tcW w:w="2835" w:type="dxa"/>
            <w:vAlign w:val="center"/>
          </w:tcPr>
          <w:p w14:paraId="1CE30393">
            <w:pPr>
              <w:spacing w:after="0" w:line="240" w:lineRule="auto"/>
              <w:jc w:val="center"/>
              <w:rPr>
                <w:rFonts w:eastAsia="Times New Roman" w:cs="Times New Roman" w:asciiTheme="majorHAnsi" w:hAnsiTheme="majorHAnsi"/>
                <w:color w:val="000000"/>
                <w:sz w:val="24"/>
                <w:szCs w:val="24"/>
                <w:lang w:val="en-US"/>
              </w:rPr>
            </w:pPr>
            <w:r>
              <w:rPr>
                <w:rFonts w:eastAsia="Times New Roman" w:cs="Times New Roman" w:asciiTheme="majorHAnsi" w:hAnsiTheme="majorHAnsi"/>
                <w:color w:val="000000"/>
                <w:sz w:val="24"/>
                <w:szCs w:val="24"/>
                <w:lang w:val="en-US"/>
              </w:rPr>
              <w:t>22.86</w:t>
            </w:r>
          </w:p>
        </w:tc>
      </w:tr>
      <w:tr w14:paraId="3EC780D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622" w:hRule="atLeast"/>
        </w:trPr>
        <w:tc>
          <w:tcPr>
            <w:tcW w:w="1276" w:type="dxa"/>
            <w:vAlign w:val="center"/>
          </w:tcPr>
          <w:p w14:paraId="25187CAD">
            <w:pPr>
              <w:spacing w:after="0" w:line="240" w:lineRule="auto"/>
              <w:jc w:val="center"/>
              <w:rPr>
                <w:rFonts w:eastAsia="Times New Roman" w:cs="Times New Roman" w:asciiTheme="majorHAnsi" w:hAnsiTheme="majorHAnsi"/>
                <w:color w:val="000000"/>
                <w:sz w:val="24"/>
                <w:szCs w:val="24"/>
                <w:lang w:val="en-US"/>
              </w:rPr>
            </w:pPr>
            <w:r>
              <w:rPr>
                <w:rFonts w:eastAsia="Times New Roman" w:cs="Times New Roman" w:asciiTheme="majorHAnsi" w:hAnsiTheme="majorHAnsi"/>
                <w:color w:val="000000"/>
                <w:sz w:val="24"/>
                <w:szCs w:val="24"/>
                <w:lang w:val="en-US"/>
              </w:rPr>
              <w:t>Currently</w:t>
            </w:r>
          </w:p>
        </w:tc>
        <w:tc>
          <w:tcPr>
            <w:tcW w:w="2693" w:type="dxa"/>
            <w:vAlign w:val="center"/>
          </w:tcPr>
          <w:p w14:paraId="3773C3C7">
            <w:pPr>
              <w:spacing w:after="0" w:line="240" w:lineRule="auto"/>
              <w:jc w:val="center"/>
              <w:rPr>
                <w:rFonts w:eastAsia="Times New Roman" w:cs="Times New Roman" w:asciiTheme="majorHAnsi" w:hAnsiTheme="majorHAnsi"/>
                <w:color w:val="000000"/>
                <w:sz w:val="24"/>
                <w:szCs w:val="24"/>
                <w:lang w:val="en-US"/>
              </w:rPr>
            </w:pPr>
            <m:oMathPara>
              <m:oMath>
                <m:r>
                  <m:rPr/>
                  <w:rPr>
                    <w:rFonts w:ascii="Cambria Math" w:hAnsi="Cambria Math" w:eastAsia="Times New Roman" w:cs="Times New Roman"/>
                    <w:color w:val="000000"/>
                    <w:sz w:val="24"/>
                    <w:szCs w:val="24"/>
                    <w:lang w:val="en-US"/>
                  </w:rPr>
                  <m:t>48,78&lt;X&lt;89,32</m:t>
                </m:r>
              </m:oMath>
            </m:oMathPara>
          </w:p>
        </w:tc>
        <w:tc>
          <w:tcPr>
            <w:tcW w:w="1701" w:type="dxa"/>
            <w:vAlign w:val="center"/>
          </w:tcPr>
          <w:p w14:paraId="6F2A7558">
            <w:pPr>
              <w:spacing w:after="0" w:line="240" w:lineRule="auto"/>
              <w:jc w:val="center"/>
              <w:rPr>
                <w:rFonts w:eastAsia="Times New Roman" w:cs="Times New Roman" w:asciiTheme="majorHAnsi" w:hAnsiTheme="majorHAnsi"/>
                <w:color w:val="000000"/>
                <w:sz w:val="24"/>
                <w:szCs w:val="24"/>
                <w:lang w:val="en-US"/>
              </w:rPr>
            </w:pPr>
            <w:r>
              <w:rPr>
                <w:rFonts w:eastAsia="Times New Roman" w:cs="Times New Roman" w:asciiTheme="majorHAnsi" w:hAnsiTheme="majorHAnsi"/>
                <w:color w:val="000000"/>
                <w:sz w:val="24"/>
                <w:szCs w:val="24"/>
                <w:lang w:val="en-US"/>
              </w:rPr>
              <w:t>20</w:t>
            </w:r>
          </w:p>
        </w:tc>
        <w:tc>
          <w:tcPr>
            <w:tcW w:w="2835" w:type="dxa"/>
            <w:vAlign w:val="center"/>
          </w:tcPr>
          <w:p w14:paraId="4AE498D2">
            <w:pPr>
              <w:spacing w:after="0" w:line="240" w:lineRule="auto"/>
              <w:jc w:val="center"/>
              <w:rPr>
                <w:rFonts w:eastAsia="Times New Roman" w:cs="Times New Roman" w:asciiTheme="majorHAnsi" w:hAnsiTheme="majorHAnsi"/>
                <w:color w:val="000000"/>
                <w:sz w:val="24"/>
                <w:szCs w:val="24"/>
                <w:lang w:val="en-US"/>
              </w:rPr>
            </w:pPr>
            <w:r>
              <w:rPr>
                <w:rFonts w:eastAsia="Times New Roman" w:cs="Times New Roman" w:asciiTheme="majorHAnsi" w:hAnsiTheme="majorHAnsi"/>
                <w:color w:val="000000"/>
                <w:sz w:val="24"/>
                <w:szCs w:val="24"/>
                <w:lang w:val="en-US"/>
              </w:rPr>
              <w:t>57.14</w:t>
            </w:r>
          </w:p>
        </w:tc>
      </w:tr>
      <w:tr w14:paraId="376CA92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70" w:hRule="atLeast"/>
        </w:trPr>
        <w:tc>
          <w:tcPr>
            <w:tcW w:w="1276" w:type="dxa"/>
            <w:vAlign w:val="center"/>
          </w:tcPr>
          <w:p w14:paraId="06A675B3">
            <w:pPr>
              <w:spacing w:after="0" w:line="240" w:lineRule="auto"/>
              <w:jc w:val="center"/>
              <w:rPr>
                <w:rFonts w:eastAsia="Times New Roman" w:cs="Times New Roman" w:asciiTheme="majorHAnsi" w:hAnsiTheme="majorHAnsi"/>
                <w:color w:val="000000"/>
                <w:sz w:val="24"/>
                <w:szCs w:val="24"/>
                <w:lang w:val="en-US"/>
              </w:rPr>
            </w:pPr>
            <w:r>
              <w:rPr>
                <w:rFonts w:eastAsia="Times New Roman" w:cs="Times New Roman" w:asciiTheme="majorHAnsi" w:hAnsiTheme="majorHAnsi"/>
                <w:color w:val="000000"/>
                <w:sz w:val="24"/>
                <w:szCs w:val="24"/>
                <w:lang w:val="en-US"/>
              </w:rPr>
              <w:t>Low</w:t>
            </w:r>
          </w:p>
        </w:tc>
        <w:tc>
          <w:tcPr>
            <w:tcW w:w="2693" w:type="dxa"/>
            <w:vAlign w:val="center"/>
          </w:tcPr>
          <w:p w14:paraId="3AFE1358">
            <w:pPr>
              <w:spacing w:after="0" w:line="240" w:lineRule="auto"/>
              <w:jc w:val="center"/>
              <w:rPr>
                <w:rFonts w:eastAsia="Times New Roman" w:cs="Times New Roman" w:asciiTheme="majorHAnsi" w:hAnsiTheme="majorHAnsi"/>
                <w:color w:val="000000"/>
                <w:sz w:val="24"/>
                <w:szCs w:val="24"/>
                <w:lang w:val="en-US"/>
              </w:rPr>
            </w:pPr>
            <m:oMathPara>
              <m:oMath>
                <m:r>
                  <m:rPr/>
                  <w:rPr>
                    <w:rFonts w:ascii="Cambria Math" w:hAnsi="Cambria Math" w:eastAsia="Times New Roman" w:cs="Times New Roman"/>
                    <w:color w:val="000000"/>
                    <w:sz w:val="24"/>
                    <w:szCs w:val="24"/>
                    <w:lang w:val="en-US"/>
                  </w:rPr>
                  <m:t xml:space="preserve">X≤48,78 </m:t>
                </m:r>
              </m:oMath>
            </m:oMathPara>
          </w:p>
        </w:tc>
        <w:tc>
          <w:tcPr>
            <w:tcW w:w="1701" w:type="dxa"/>
            <w:vAlign w:val="center"/>
          </w:tcPr>
          <w:p w14:paraId="4038DD1A">
            <w:pPr>
              <w:spacing w:after="0" w:line="240" w:lineRule="auto"/>
              <w:jc w:val="center"/>
              <w:rPr>
                <w:rFonts w:eastAsia="Times New Roman" w:cs="Times New Roman" w:asciiTheme="majorHAnsi" w:hAnsiTheme="majorHAnsi"/>
                <w:color w:val="000000"/>
                <w:sz w:val="24"/>
                <w:szCs w:val="24"/>
                <w:lang w:val="en-US"/>
              </w:rPr>
            </w:pPr>
            <w:r>
              <w:rPr>
                <w:rFonts w:eastAsia="Times New Roman" w:cs="Times New Roman" w:asciiTheme="majorHAnsi" w:hAnsiTheme="majorHAnsi"/>
                <w:color w:val="000000"/>
                <w:sz w:val="24"/>
                <w:szCs w:val="24"/>
                <w:lang w:val="en-US"/>
              </w:rPr>
              <w:t>7</w:t>
            </w:r>
          </w:p>
        </w:tc>
        <w:tc>
          <w:tcPr>
            <w:tcW w:w="2835" w:type="dxa"/>
            <w:vAlign w:val="center"/>
          </w:tcPr>
          <w:p w14:paraId="608708E2">
            <w:pPr>
              <w:spacing w:after="0" w:line="240" w:lineRule="auto"/>
              <w:jc w:val="center"/>
              <w:rPr>
                <w:rFonts w:eastAsia="Times New Roman" w:cs="Times New Roman" w:asciiTheme="majorHAnsi" w:hAnsiTheme="majorHAnsi"/>
                <w:color w:val="000000"/>
                <w:sz w:val="24"/>
                <w:szCs w:val="24"/>
                <w:lang w:val="en-US"/>
              </w:rPr>
            </w:pPr>
            <w:r>
              <w:rPr>
                <w:rFonts w:eastAsia="Times New Roman" w:cs="Times New Roman" w:asciiTheme="majorHAnsi" w:hAnsiTheme="majorHAnsi"/>
                <w:color w:val="000000"/>
                <w:sz w:val="24"/>
                <w:szCs w:val="24"/>
                <w:lang w:val="en-US"/>
              </w:rPr>
              <w:t>20</w:t>
            </w:r>
          </w:p>
        </w:tc>
      </w:tr>
      <w:tr w14:paraId="524453D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304" w:hRule="atLeast"/>
        </w:trPr>
        <w:tc>
          <w:tcPr>
            <w:tcW w:w="3969" w:type="dxa"/>
            <w:gridSpan w:val="2"/>
            <w:vAlign w:val="center"/>
          </w:tcPr>
          <w:p w14:paraId="5EA24250">
            <w:pPr>
              <w:spacing w:after="0" w:line="240" w:lineRule="auto"/>
              <w:jc w:val="center"/>
              <w:rPr>
                <w:rFonts w:eastAsia="Times New Roman" w:cs="Times New Roman" w:asciiTheme="majorHAnsi" w:hAnsiTheme="majorHAnsi"/>
                <w:b/>
                <w:bCs/>
                <w:color w:val="000000"/>
                <w:sz w:val="24"/>
                <w:szCs w:val="24"/>
                <w:lang w:val="en-US"/>
              </w:rPr>
            </w:pPr>
            <w:r>
              <w:rPr>
                <w:rFonts w:eastAsia="Times New Roman" w:cs="Times New Roman" w:asciiTheme="majorHAnsi" w:hAnsiTheme="majorHAnsi"/>
                <w:b/>
                <w:bCs/>
                <w:color w:val="000000"/>
                <w:sz w:val="24"/>
                <w:szCs w:val="24"/>
                <w:lang w:val="en-US"/>
              </w:rPr>
              <w:t>Total</w:t>
            </w:r>
          </w:p>
        </w:tc>
        <w:tc>
          <w:tcPr>
            <w:tcW w:w="1701" w:type="dxa"/>
            <w:vAlign w:val="center"/>
          </w:tcPr>
          <w:p w14:paraId="11D6EEA7">
            <w:pPr>
              <w:spacing w:after="0" w:line="240" w:lineRule="auto"/>
              <w:rPr>
                <w:rFonts w:eastAsia="Times New Roman" w:cs="Times New Roman" w:asciiTheme="majorHAnsi" w:hAnsiTheme="majorHAnsi"/>
                <w:b/>
                <w:bCs/>
                <w:color w:val="000000"/>
                <w:sz w:val="24"/>
                <w:szCs w:val="24"/>
                <w:lang w:val="en-US"/>
              </w:rPr>
            </w:pPr>
            <w:r>
              <w:rPr>
                <w:rFonts w:eastAsia="Times New Roman" w:cs="Times New Roman" w:asciiTheme="majorHAnsi" w:hAnsiTheme="majorHAnsi"/>
                <w:b/>
                <w:bCs/>
                <w:color w:val="000000"/>
                <w:sz w:val="24"/>
                <w:szCs w:val="24"/>
                <w:lang w:val="en-US"/>
              </w:rPr>
              <w:t xml:space="preserve">              35</w:t>
            </w:r>
          </w:p>
        </w:tc>
        <w:tc>
          <w:tcPr>
            <w:tcW w:w="2835" w:type="dxa"/>
          </w:tcPr>
          <w:p w14:paraId="7D8E2C3E">
            <w:pPr>
              <w:spacing w:after="0" w:line="240" w:lineRule="auto"/>
              <w:rPr>
                <w:rFonts w:eastAsia="Times New Roman" w:cs="Times New Roman" w:asciiTheme="majorHAnsi" w:hAnsiTheme="majorHAnsi"/>
                <w:b/>
                <w:bCs/>
                <w:color w:val="000000"/>
                <w:sz w:val="24"/>
                <w:szCs w:val="24"/>
                <w:lang w:val="en-US"/>
              </w:rPr>
            </w:pPr>
            <w:r>
              <w:rPr>
                <w:rFonts w:eastAsia="Times New Roman" w:cs="Times New Roman" w:asciiTheme="majorHAnsi" w:hAnsiTheme="majorHAnsi"/>
                <w:b/>
                <w:bCs/>
                <w:color w:val="000000"/>
                <w:sz w:val="24"/>
                <w:szCs w:val="24"/>
                <w:lang w:val="en-US"/>
              </w:rPr>
              <w:t xml:space="preserve">            100%</w:t>
            </w:r>
          </w:p>
        </w:tc>
      </w:tr>
    </w:tbl>
    <w:p w14:paraId="225128C3">
      <w:pPr>
        <w:spacing w:after="0" w:line="240" w:lineRule="auto"/>
        <w:jc w:val="both"/>
        <w:rPr>
          <w:rFonts w:eastAsia="Times New Roman" w:cs="Times New Roman" w:asciiTheme="majorHAnsi" w:hAnsiTheme="majorHAnsi"/>
          <w:sz w:val="24"/>
          <w:szCs w:val="24"/>
          <w:lang w:val="en-US"/>
        </w:rPr>
      </w:pPr>
      <w:r>
        <w:rPr>
          <w:rFonts w:eastAsia="Times New Roman" w:cs="Times New Roman" w:asciiTheme="majorHAnsi" w:hAnsiTheme="majorHAnsi"/>
          <w:sz w:val="24"/>
          <w:szCs w:val="24"/>
          <w:lang w:val="en-US"/>
        </w:rPr>
        <w:t xml:space="preserve"> </w:t>
      </w:r>
    </w:p>
    <w:p w14:paraId="1E958986">
      <w:pPr>
        <w:spacing w:after="0" w:line="240" w:lineRule="auto"/>
        <w:ind w:firstLine="720"/>
        <w:jc w:val="both"/>
        <w:rPr>
          <w:rFonts w:eastAsia="Times New Roman" w:cs="Times New Roman" w:asciiTheme="majorHAnsi" w:hAnsiTheme="majorHAnsi"/>
          <w:sz w:val="24"/>
          <w:szCs w:val="24"/>
        </w:rPr>
      </w:pPr>
      <w:r>
        <w:rPr>
          <w:rFonts w:eastAsia="Times New Roman" w:cs="Times New Roman" w:asciiTheme="majorHAnsi" w:hAnsiTheme="majorHAnsi"/>
          <w:sz w:val="24"/>
          <w:szCs w:val="24"/>
        </w:rPr>
        <w:t>Based on Table 3, the data distribution shows that 8 students (22.86%) have a high level of mathematical concept understanding ability (X ≥ 89.32). 20 students (57.14%) are in the medium category with a value range of 48.78 &lt; X &lt; 89.32, which is the category with the largest number of students. Meanwhile, 7 students (20%) are in the low category with a value of less than or equal to 48.78.</w:t>
      </w:r>
    </w:p>
    <w:p w14:paraId="69C9947F">
      <w:pPr>
        <w:spacing w:after="0" w:line="240" w:lineRule="auto"/>
        <w:ind w:firstLine="720"/>
        <w:jc w:val="both"/>
        <w:rPr>
          <w:rFonts w:eastAsia="Times New Roman" w:cs="Times New Roman" w:asciiTheme="majorHAnsi" w:hAnsiTheme="majorHAnsi"/>
          <w:sz w:val="24"/>
          <w:szCs w:val="24"/>
        </w:rPr>
      </w:pPr>
      <w:r>
        <w:rPr>
          <w:rFonts w:eastAsia="Times New Roman" w:cs="Times New Roman" w:asciiTheme="majorHAnsi" w:hAnsiTheme="majorHAnsi"/>
          <w:sz w:val="24"/>
          <w:szCs w:val="24"/>
        </w:rPr>
        <w:t>Furthermore, in this study, the researcher took three subjects representing each category of students' mathematical concept understanding ability for further analysis.</w:t>
      </w:r>
    </w:p>
    <w:p w14:paraId="7552BC87">
      <w:pPr>
        <w:spacing w:after="0" w:line="240" w:lineRule="auto"/>
        <w:rPr>
          <w:rFonts w:ascii="Cambria" w:hAnsi="Cambria" w:eastAsia="Cambria" w:cs="Cambria"/>
          <w:i/>
          <w:sz w:val="24"/>
          <w:szCs w:val="24"/>
        </w:rPr>
      </w:pPr>
    </w:p>
    <w:p w14:paraId="02177292">
      <w:pPr>
        <w:spacing w:after="0" w:line="240" w:lineRule="auto"/>
        <w:rPr>
          <w:rFonts w:eastAsia="Cambria" w:cs="Cambria" w:asciiTheme="majorHAnsi" w:hAnsiTheme="majorHAnsi"/>
          <w:b/>
          <w:bCs/>
          <w:i/>
          <w:sz w:val="24"/>
          <w:szCs w:val="24"/>
        </w:rPr>
      </w:pPr>
      <w:r>
        <w:rPr>
          <w:rFonts w:eastAsia="Cambria" w:cs="Cambria" w:asciiTheme="majorHAnsi" w:hAnsiTheme="majorHAnsi"/>
          <w:b/>
          <w:bCs/>
          <w:i/>
          <w:sz w:val="24"/>
          <w:szCs w:val="24"/>
        </w:rPr>
        <w:t>Discussion</w:t>
      </w:r>
    </w:p>
    <w:p w14:paraId="0000004F">
      <w:pPr>
        <w:spacing w:after="0" w:line="240" w:lineRule="auto"/>
        <w:ind w:firstLine="720"/>
        <w:jc w:val="both"/>
        <w:rPr>
          <w:rFonts w:ascii="Cambria" w:hAnsi="Cambria" w:eastAsia="Cambria" w:cs="Cambria"/>
          <w:sz w:val="24"/>
          <w:szCs w:val="24"/>
        </w:rPr>
      </w:pPr>
      <w:r>
        <w:rPr>
          <w:rFonts w:cs="Times New Roman" w:asciiTheme="majorHAnsi" w:hAnsiTheme="majorHAnsi"/>
          <w:sz w:val="24"/>
          <w:szCs w:val="24"/>
        </w:rPr>
        <w:t>There are three questions analyzed in this study. Each question shows one indicator of the ability to understand mathematical concepts that students need to master.</w:t>
      </w:r>
      <w:r>
        <w:rPr>
          <w:rFonts w:eastAsia="Times New Roman" w:cs="Times New Roman" w:asciiTheme="majorHAnsi" w:hAnsiTheme="majorHAnsi"/>
          <w:sz w:val="24"/>
          <w:szCs w:val="24"/>
        </w:rPr>
        <w:t>Question number 1 is related to the translation indicator, students are able to change an object/sentence into a symbol. Question number 2 is related to the interpretation indicator,</w:t>
      </w:r>
      <w:r>
        <w:rPr>
          <w:rFonts w:cs="Times New Roman" w:asciiTheme="majorHAnsi" w:hAnsiTheme="majorHAnsi"/>
          <w:sz w:val="24"/>
          <w:szCs w:val="24"/>
        </w:rPr>
        <w:t>students must be able to</w:t>
      </w:r>
      <w:r>
        <w:rPr>
          <w:rFonts w:eastAsia="Times New Roman" w:cs="Times New Roman" w:asciiTheme="majorHAnsi" w:hAnsiTheme="majorHAnsi"/>
          <w:sz w:val="24"/>
          <w:szCs w:val="24"/>
          <w:lang w:val="en-US"/>
        </w:rPr>
        <w:t>to give meaning to an object/symbol that has been changed into another form by performing mathematical operations</w:t>
      </w:r>
      <w:r>
        <w:rPr>
          <w:rFonts w:cs="Times New Roman" w:asciiTheme="majorHAnsi" w:hAnsiTheme="majorHAnsi"/>
          <w:sz w:val="24"/>
          <w:szCs w:val="24"/>
        </w:rPr>
        <w:t>.</w:t>
      </w:r>
      <w:r>
        <w:rPr>
          <w:rFonts w:eastAsia="Times New Roman" w:cs="Times New Roman" w:asciiTheme="majorHAnsi" w:hAnsiTheme="majorHAnsi"/>
          <w:sz w:val="24"/>
          <w:szCs w:val="24"/>
        </w:rPr>
        <w:t>The questions presented are integer story questions, then students are asked to calculate the results obtained in question number 1. Question number 3 is related to the extrapolation indicator,</w:t>
      </w:r>
      <w:r>
        <w:rPr>
          <w:rFonts w:cs="Times New Roman" w:asciiTheme="majorHAnsi" w:hAnsiTheme="majorHAnsi"/>
          <w:sz w:val="24"/>
          <w:szCs w:val="24"/>
        </w:rPr>
        <w:t>3 students must be able to provide conclusions from something they have learned.</w:t>
      </w:r>
      <w:r>
        <w:rPr>
          <w:rFonts w:eastAsia="Times New Roman" w:cs="Times New Roman" w:asciiTheme="majorHAnsi" w:hAnsiTheme="majorHAnsi"/>
          <w:sz w:val="24"/>
          <w:szCs w:val="24"/>
          <w:lang w:val="en-US"/>
        </w:rPr>
        <w:t>known</w:t>
      </w:r>
      <w:r>
        <w:rPr>
          <w:rFonts w:cs="Times New Roman" w:asciiTheme="majorHAnsi" w:hAnsiTheme="majorHAnsi"/>
          <w:sz w:val="24"/>
          <w:szCs w:val="24"/>
        </w:rPr>
        <w:t>.</w:t>
      </w:r>
      <w:r>
        <w:rPr>
          <w:rFonts w:eastAsia="Times New Roman" w:cs="Times New Roman" w:asciiTheme="majorHAnsi" w:hAnsiTheme="majorHAnsi"/>
          <w:sz w:val="24"/>
          <w:szCs w:val="24"/>
        </w:rPr>
        <w:t>The questions presented are story questions about integers, then students are asked to draw conclusions from the results obtained</w:t>
      </w:r>
      <w:r>
        <w:rPr>
          <w:rFonts w:hint="default" w:eastAsia="Times New Roman" w:cs="Times New Roman" w:asciiTheme="majorHAnsi" w:hAnsiTheme="majorHAnsi"/>
          <w:sz w:val="24"/>
          <w:szCs w:val="24"/>
          <w:lang w:val="en-US"/>
        </w:rPr>
        <w:t xml:space="preserve"> </w:t>
      </w:r>
      <w:r>
        <w:rPr>
          <w:rFonts w:ascii="Cambria" w:hAnsi="Cambria" w:eastAsia="Cambria" w:cs="Cambria"/>
          <w:color w:val="000000"/>
          <w:sz w:val="24"/>
          <w:szCs w:val="24"/>
          <w:rtl w:val="0"/>
        </w:rPr>
        <w:t xml:space="preserve">the results of the </w:t>
      </w:r>
      <w:r>
        <w:rPr>
          <w:rFonts w:cs="Times New Roman" w:asciiTheme="majorHAnsi" w:hAnsiTheme="majorHAnsi"/>
          <w:i w:val="0"/>
          <w:iCs w:val="0"/>
          <w:sz w:val="24"/>
          <w:szCs w:val="24"/>
        </w:rPr>
        <w:t>Students with High Mathematical Concept Understanding Ability</w:t>
      </w:r>
      <w:r>
        <w:rPr>
          <w:rFonts w:hint="default" w:cs="Times New Roman" w:asciiTheme="majorHAnsi" w:hAnsiTheme="majorHAnsi"/>
          <w:i/>
          <w:iCs/>
          <w:sz w:val="24"/>
          <w:szCs w:val="24"/>
          <w:lang w:val="en-US"/>
        </w:rPr>
        <w:t xml:space="preserve"> </w:t>
      </w:r>
      <w:r>
        <w:rPr>
          <w:rFonts w:ascii="Cambria" w:hAnsi="Cambria" w:eastAsia="Cambria" w:cs="Cambria"/>
          <w:color w:val="000000"/>
          <w:sz w:val="24"/>
          <w:szCs w:val="24"/>
          <w:rtl w:val="0"/>
        </w:rPr>
        <w:t xml:space="preserve"> are presented in </w:t>
      </w:r>
      <w:r>
        <w:rPr>
          <w:rFonts w:hint="default" w:ascii="Cambria" w:hAnsi="Cambria" w:eastAsia="Cambria" w:cs="Cambria"/>
          <w:color w:val="000000"/>
          <w:sz w:val="24"/>
          <w:szCs w:val="24"/>
          <w:rtl w:val="0"/>
          <w:lang w:val="en-US"/>
        </w:rPr>
        <w:t>Figure 1</w:t>
      </w:r>
      <w:r>
        <w:rPr>
          <w:rFonts w:ascii="Cambria" w:hAnsi="Cambria" w:eastAsia="Cambria" w:cs="Cambria"/>
          <w:color w:val="000000"/>
          <w:sz w:val="24"/>
          <w:szCs w:val="24"/>
          <w:rtl w:val="0"/>
        </w:rPr>
        <w:t>.</w:t>
      </w:r>
    </w:p>
    <w:p w14:paraId="43B613BA">
      <w:pPr>
        <w:pStyle w:val="38"/>
        <w:numPr>
          <w:ilvl w:val="0"/>
          <w:numId w:val="0"/>
        </w:numPr>
        <w:spacing w:after="0" w:line="240" w:lineRule="auto"/>
        <w:ind w:leftChars="0"/>
        <w:jc w:val="both"/>
        <w:rPr>
          <w:rFonts w:cs="Times New Roman" w:asciiTheme="majorHAnsi" w:hAnsiTheme="majorHAnsi"/>
          <w:i/>
          <w:iCs/>
          <w:sz w:val="24"/>
          <w:szCs w:val="24"/>
        </w:rPr>
      </w:pPr>
    </w:p>
    <w:p w14:paraId="1840F664">
      <w:pPr>
        <w:pStyle w:val="38"/>
        <w:numPr>
          <w:ilvl w:val="0"/>
          <w:numId w:val="1"/>
        </w:numPr>
        <w:spacing w:after="0" w:line="240" w:lineRule="auto"/>
        <w:jc w:val="both"/>
        <w:rPr>
          <w:rFonts w:cs="Times New Roman" w:asciiTheme="majorHAnsi" w:hAnsiTheme="majorHAnsi"/>
          <w:i/>
          <w:iCs/>
          <w:sz w:val="24"/>
          <w:szCs w:val="24"/>
        </w:rPr>
      </w:pPr>
      <w:r>
        <w:rPr>
          <w:rFonts w:cs="Times New Roman" w:asciiTheme="majorHAnsi" w:hAnsiTheme="majorHAnsi"/>
          <w:i/>
          <w:iCs/>
          <w:sz w:val="24"/>
          <w:szCs w:val="24"/>
        </w:rPr>
        <w:t>Students with High Mathematical Concept Understanding Ability</w:t>
      </w:r>
    </w:p>
    <w:p w14:paraId="0F3920C4">
      <w:pPr>
        <w:pStyle w:val="38"/>
        <w:spacing w:after="0" w:line="240" w:lineRule="auto"/>
        <w:ind w:left="360"/>
        <w:jc w:val="center"/>
        <w:rPr>
          <w:rFonts w:cs="Times New Roman" w:asciiTheme="majorHAnsi" w:hAnsiTheme="majorHAnsi"/>
          <w:i/>
          <w:iCs/>
          <w:sz w:val="24"/>
          <w:szCs w:val="24"/>
        </w:rPr>
      </w:pPr>
      <w:r>
        <w:drawing>
          <wp:inline distT="0" distB="0" distL="0" distR="0">
            <wp:extent cx="2498090" cy="744220"/>
            <wp:effectExtent l="0" t="0" r="0" b="0"/>
            <wp:docPr id="211025829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58294" name="Gambar 1"/>
                    <pic:cNvPicPr>
                      <a:picLocks noChangeAspect="1" noChangeArrowheads="1"/>
                    </pic:cNvPicPr>
                  </pic:nvPicPr>
                  <pic:blipFill>
                    <a:blip r:embed="rId11" cstate="print">
                      <a:extLst>
                        <a:ext uri="{28A0092B-C50C-407E-A947-70E740481C1C}">
                          <a14:useLocalDpi xmlns:a14="http://schemas.microsoft.com/office/drawing/2010/main" val="0"/>
                        </a:ext>
                      </a:extLst>
                    </a:blip>
                    <a:srcRect r="14902"/>
                    <a:stretch>
                      <a:fillRect/>
                    </a:stretch>
                  </pic:blipFill>
                  <pic:spPr>
                    <a:xfrm>
                      <a:off x="0" y="0"/>
                      <a:ext cx="2527709" cy="753329"/>
                    </a:xfrm>
                    <a:prstGeom prst="rect">
                      <a:avLst/>
                    </a:prstGeom>
                    <a:noFill/>
                    <a:ln>
                      <a:noFill/>
                    </a:ln>
                  </pic:spPr>
                </pic:pic>
              </a:graphicData>
            </a:graphic>
          </wp:inline>
        </w:drawing>
      </w:r>
    </w:p>
    <w:p w14:paraId="1DAAA8CA">
      <w:pPr>
        <w:spacing w:line="240" w:lineRule="auto"/>
        <w:jc w:val="center"/>
        <w:rPr>
          <w:rFonts w:eastAsia="Times New Roman" w:cs="Times New Roman" w:asciiTheme="majorHAnsi" w:hAnsiTheme="majorHAnsi"/>
          <w:sz w:val="24"/>
          <w:szCs w:val="24"/>
        </w:rPr>
      </w:pPr>
      <w:r>
        <w:rPr>
          <w:rFonts w:eastAsia="Times New Roman" w:cs="Times New Roman" w:asciiTheme="majorHAnsi" w:hAnsiTheme="majorHAnsi"/>
          <w:sz w:val="24"/>
          <w:szCs w:val="24"/>
        </w:rPr>
        <w:t>Figure 1. Answer to Question Number 1 for High Category Students</w:t>
      </w:r>
    </w:p>
    <w:p w14:paraId="371A1FF4">
      <w:pPr>
        <w:pStyle w:val="38"/>
        <w:spacing w:after="0" w:line="240" w:lineRule="auto"/>
        <w:ind w:left="360" w:firstLine="360"/>
        <w:jc w:val="both"/>
        <w:rPr>
          <w:rFonts w:cs="Times New Roman" w:asciiTheme="majorHAnsi" w:hAnsiTheme="majorHAnsi"/>
          <w:sz w:val="24"/>
          <w:szCs w:val="24"/>
        </w:rPr>
      </w:pPr>
      <w:r>
        <w:rPr>
          <w:rFonts w:eastAsia="Times New Roman" w:cs="Times New Roman" w:asciiTheme="majorHAnsi" w:hAnsiTheme="majorHAnsi"/>
          <w:kern w:val="0"/>
          <w:sz w:val="24"/>
          <w:szCs w:val="24"/>
          <w:lang w:eastAsia="id-ID" w:bidi="ar-SA"/>
          <w14:ligatures w14:val="none"/>
        </w:rPr>
        <w:t>Figure 1 shows that students are able to change a story sentence into a mathematical equation, namely x = 21 – 27, where x is the temperature outside the house. This shows that students understand the relationship between concepts and have successfully modeled them into mathematical equations. This is in line with research</w:t>
      </w:r>
      <w:r>
        <w:rPr>
          <w:rFonts w:cs="Times New Roman" w:asciiTheme="majorHAnsi" w:hAnsiTheme="majorHAnsi"/>
          <w:sz w:val="24"/>
          <w:szCs w:val="24"/>
        </w:rPr>
        <w:fldChar w:fldCharType="begin" w:fldLock="1"/>
      </w:r>
      <w:r>
        <w:rPr>
          <w:rFonts w:cs="Times New Roman" w:asciiTheme="majorHAnsi" w:hAnsiTheme="majorHAnsi"/>
          <w:sz w:val="24"/>
          <w:szCs w:val="24"/>
        </w:rPr>
        <w:instrText xml:space="preserve">ADDIN CSL_CITATION {"citationItems":[{"id":"ITEM-1","itemData":{"DOI":"10.22460/jpmi.v6i4.18279","ISSN":"2614-2155","abstract":"The research was carried out with the aim of analyzing the mathematical communication skills of students on quadrilateral material in terms of self-directing learning. The method used is descriptive qualitative method. As many as 30 students of class VII A from SMP Pasundan 1 Cimahi were the subjects of this study. The data collection technique was in the form of a self-rating scale of self-directed learning (SRSSDL) questionnaire and a test instrument of 3 questions with indicators of written mathematical communication skills and interviews. The results showed that students with high self-directing learning had high mathematical communication skills by fulfilling all aspects of mathematical communication abilities. Students who are self-directing learning have average mathematical communication skills and are able to fulfill 2 aspects of mathematical communication skills, namely writing text and mathematical expression. Students whose self-directing learning is low have low mathematical communication skills which are only able to fulfill 1 aspect of mathematical communication ability, namely writing text and 1 indicator on the aspect of mathematical expression.","author":[{"dropping-particle":"","family":"Pujianti","given":"Agnes","non-dropping-particle":"","parse-names":false,"suffix":""},{"dropping-particle":"","family":"Setiawan","given":"Wahyu","non-dropping-particle":"","parse-names":false,"suffix":""},{"dropping-particle":"","family":"Hendriana","given":"Heris","non-dropping-particle":"","parse-names":false,"suffix":""}],"container-title":"Jurnal Pembelajaran Matematika Inovatif","id":"ITEM-1","issue":"4","issued":{"date-parts":[["2023"]]},"page":"1431-1440","title":"Analisis Kemampuan Komunikasi Matematis Siswa Materi Segiempat Ditinjau Dari Self Directing Learning","type":"article-journal","volume":"6"},"uris":["http://www.mendeley.com/documents/?uuid=ce149e7a-2371-4690-af83-6335afd8ce20"]}],"mendeley":{"formattedCitation":"(Pujianti et al., 2023)","manualFormatting":"Pujianti et al., (2023)","plainTextFormattedCitation":"(Pujianti et al., 2023)","previouslyFormattedCitation":"(Pujianti et al., 2023)"},"properties":{"noteIndex":0},"schema":"https://github.com/citation-style-language/schema/raw/master/csl-citation.json"}</w:instrText>
      </w:r>
      <w:r>
        <w:rPr>
          <w:rFonts w:cs="Times New Roman" w:asciiTheme="majorHAnsi" w:hAnsiTheme="majorHAnsi"/>
          <w:sz w:val="24"/>
          <w:szCs w:val="24"/>
        </w:rPr>
        <w:fldChar w:fldCharType="separate"/>
      </w:r>
      <w:r>
        <w:rPr>
          <w:rFonts w:cs="Times New Roman" w:asciiTheme="majorHAnsi" w:hAnsiTheme="majorHAnsi"/>
          <w:sz w:val="24"/>
          <w:szCs w:val="24"/>
        </w:rPr>
        <w:t>Pujianti et al., (2023)</w:t>
      </w:r>
      <w:r>
        <w:rPr>
          <w:rFonts w:cs="Times New Roman" w:asciiTheme="majorHAnsi" w:hAnsiTheme="majorHAnsi"/>
          <w:sz w:val="24"/>
          <w:szCs w:val="24"/>
        </w:rPr>
        <w:fldChar w:fldCharType="end"/>
      </w:r>
      <w:r>
        <w:rPr>
          <w:rFonts w:cs="Times New Roman" w:asciiTheme="majorHAnsi" w:hAnsiTheme="majorHAnsi"/>
          <w:sz w:val="24"/>
          <w:szCs w:val="24"/>
        </w:rPr>
        <w:t>that students are able to understand mathematical concepts, situations and relationships by arranging problem-solving steps in a sequential and systematic manner</w:t>
      </w:r>
      <w:r>
        <w:rPr>
          <w:rFonts w:ascii="Cambria" w:hAnsi="Cambria" w:eastAsia="Cambria" w:cs="Cambria"/>
          <w:iCs/>
          <w:sz w:val="24"/>
          <w:szCs w:val="24"/>
        </w:rPr>
        <w:t xml:space="preserve"> can be seen in </w:t>
      </w:r>
      <w:r>
        <w:rPr>
          <w:rFonts w:hint="default" w:ascii="Cambria" w:hAnsi="Cambria" w:eastAsia="Cambria" w:cs="Cambria"/>
          <w:iCs/>
          <w:sz w:val="24"/>
          <w:szCs w:val="24"/>
          <w:lang w:val="en-US"/>
        </w:rPr>
        <w:t>Figure 2</w:t>
      </w:r>
      <w:r>
        <w:rPr>
          <w:rFonts w:ascii="Cambria" w:hAnsi="Cambria" w:eastAsia="Cambria" w:cs="Cambria"/>
          <w:iCs/>
          <w:sz w:val="24"/>
          <w:szCs w:val="24"/>
        </w:rPr>
        <w:t>. as follows</w:t>
      </w:r>
      <w:r>
        <w:rPr>
          <w:rFonts w:cs="Times New Roman" w:asciiTheme="majorHAnsi" w:hAnsiTheme="majorHAnsi"/>
          <w:sz w:val="24"/>
          <w:szCs w:val="24"/>
        </w:rPr>
        <w:t>.</w:t>
      </w:r>
    </w:p>
    <w:p w14:paraId="0048B3ED">
      <w:pPr>
        <w:pStyle w:val="38"/>
        <w:spacing w:after="0" w:line="240" w:lineRule="auto"/>
        <w:ind w:left="360" w:firstLine="360"/>
        <w:jc w:val="center"/>
        <w:rPr>
          <w:rFonts w:cs="Times New Roman" w:asciiTheme="majorHAnsi" w:hAnsiTheme="majorHAnsi"/>
          <w:sz w:val="24"/>
          <w:szCs w:val="24"/>
        </w:rPr>
      </w:pPr>
    </w:p>
    <w:p w14:paraId="002B4E3D">
      <w:pPr>
        <w:spacing w:after="0" w:line="240" w:lineRule="auto"/>
        <w:jc w:val="center"/>
        <w:rPr>
          <w:rFonts w:cs="Times New Roman" w:asciiTheme="majorHAnsi" w:hAnsiTheme="majorHAnsi"/>
          <w:sz w:val="24"/>
          <w:szCs w:val="24"/>
        </w:rPr>
      </w:pPr>
      <w:r>
        <w:drawing>
          <wp:inline distT="0" distB="0" distL="0" distR="0">
            <wp:extent cx="2667635" cy="389255"/>
            <wp:effectExtent l="0" t="0" r="0" b="0"/>
            <wp:docPr id="193564060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40605" name="Gambar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44610" cy="400800"/>
                    </a:xfrm>
                    <a:prstGeom prst="rect">
                      <a:avLst/>
                    </a:prstGeom>
                    <a:noFill/>
                    <a:ln>
                      <a:noFill/>
                    </a:ln>
                  </pic:spPr>
                </pic:pic>
              </a:graphicData>
            </a:graphic>
          </wp:inline>
        </w:drawing>
      </w:r>
    </w:p>
    <w:p w14:paraId="1865240D">
      <w:pPr>
        <w:spacing w:line="240" w:lineRule="auto"/>
        <w:jc w:val="center"/>
        <w:rPr>
          <w:rFonts w:eastAsia="Times New Roman" w:cs="Times New Roman" w:asciiTheme="majorHAnsi" w:hAnsiTheme="majorHAnsi"/>
          <w:sz w:val="24"/>
          <w:szCs w:val="24"/>
        </w:rPr>
      </w:pPr>
      <w:r>
        <w:rPr>
          <w:rFonts w:eastAsia="Times New Roman" w:cs="Times New Roman" w:asciiTheme="majorHAnsi" w:hAnsiTheme="majorHAnsi"/>
          <w:sz w:val="24"/>
          <w:szCs w:val="24"/>
        </w:rPr>
        <w:t>Figure 2. Answers to Question Number 2 for High Category Students</w:t>
      </w:r>
    </w:p>
    <w:p w14:paraId="7B24B6D0">
      <w:pPr>
        <w:pStyle w:val="38"/>
        <w:spacing w:after="0" w:line="240" w:lineRule="auto"/>
        <w:ind w:left="360" w:firstLine="360"/>
        <w:jc w:val="both"/>
        <w:rPr>
          <w:rFonts w:hint="default" w:eastAsia="Times New Roman" w:cs="Times New Roman" w:asciiTheme="majorHAnsi" w:hAnsiTheme="majorHAnsi"/>
          <w:kern w:val="0"/>
          <w:sz w:val="24"/>
          <w:szCs w:val="24"/>
          <w:lang w:val="en-US" w:eastAsia="id-ID" w:bidi="ar-SA"/>
          <w14:ligatures w14:val="none"/>
        </w:rPr>
      </w:pPr>
      <w:r>
        <w:rPr>
          <w:rFonts w:eastAsia="Times New Roman" w:cs="Times New Roman" w:asciiTheme="majorHAnsi" w:hAnsiTheme="majorHAnsi"/>
          <w:kern w:val="0"/>
          <w:sz w:val="24"/>
          <w:szCs w:val="24"/>
          <w:lang w:eastAsia="id-ID" w:bidi="ar-SA"/>
          <w14:ligatures w14:val="none"/>
        </w:rPr>
        <w:t>Figure 2 shows that students are able to calculate and give meaning to equations correctly, obtain results and can relate negative numbers to real situations in everyday life. This is in line with research conducted by</w:t>
      </w:r>
      <m:oMath>
        <m:r>
          <m:rPr/>
          <w:rPr>
            <w:rFonts w:ascii="Cambria Math" w:hAnsi="Cambria Math" w:eastAsia="Times New Roman" w:cs="Times New Roman"/>
            <w:kern w:val="0"/>
            <w:sz w:val="24"/>
            <w:szCs w:val="24"/>
            <w:lang w:eastAsia="id-ID" w:bidi="ar-SA"/>
            <w14:ligatures w14:val="none"/>
          </w:rPr>
          <m:t>x = 21 − 27x = −6</m:t>
        </m:r>
      </m:oMath>
      <w:r>
        <w:rPr>
          <w:rFonts w:eastAsia="Times New Roman" w:cs="Times New Roman" w:asciiTheme="majorHAnsi" w:hAnsiTheme="majorHAnsi"/>
          <w:kern w:val="0"/>
          <w:sz w:val="24"/>
          <w:szCs w:val="24"/>
          <w:lang w:eastAsia="id-ID" w:bidi="ar-SA"/>
          <w14:ligatures w14:val="none"/>
        </w:rPr>
        <w:fldChar w:fldCharType="begin" w:fldLock="1"/>
      </w:r>
      <w:r>
        <w:rPr>
          <w:rFonts w:eastAsia="Times New Roman" w:cs="Times New Roman" w:asciiTheme="majorHAnsi" w:hAnsiTheme="majorHAnsi"/>
          <w:kern w:val="0"/>
          <w:sz w:val="24"/>
          <w:szCs w:val="24"/>
          <w:lang w:eastAsia="id-ID" w:bidi="ar-SA"/>
          <w14:ligatures w14:val="none"/>
        </w:rPr>
        <w:instrText xml:space="preserve">ADDIN CSL_CITATION {"citationItems":[{"id":"ITEM-1","itemData":{"DOI":"10.26740/jrpipm.v1n1.p11-18","abstract":"Penelitian ini bertujuan mendeskripsikan profil pemecahan masalah kreatif siswa MA ditinjau dari tingkat math self-efficacy (MSE). Untuk mencapai tujuan peneliti menggunakan tahapan pemecahan masalah kreatif CPS Versi 6.1 yaitu membangun kesempatan, menggali data, membingkai masalah, membangkitkan ide, mengembangkan solusi, dan membangun penerimaan. Penelitian ini merupakan penelitian deskriptif dengan pendekatan kualitatif. Subjek penelitian terdiri dari 2 siswa yaitu siswa dengan MSE tinggi dan rendah berdasarkan hasil analisis angket the PISA math self-efficacy scale. Teknik pengumpulan data adalah wawancara berbasis tugas untuk mendapatkan data mengenai pemecahan masalah kreatif siswa. Hasil penelitian menunjukkan bahwa (1) subjek dengan MSE tinggi malakukan tahapan membangun kesempatan, menggali data, membingkai masalah, membangkitkan ide (melakukan kefasihan, melakukan fleksibilitas, namun tidak melakukan kebaruan), mengembangkan solusi, dan membangun penerimaan; dan (2) subjek dengan MSE rendah melakukan tahapan membangun kesempatan, membingkai masalah, membangkitkan ide (melakukan kefasihan, melakukan fleksibilitas, namun tidak melakukan kebaruan), mengembangkan solusi, dan membangun penerimaan, namun tidak menggali data.","author":[{"dropping-particle":"","family":"Widodo","given":"Kukuh","non-dropping-particle":"","parse-names":false,"suffix":""},{"dropping-particle":"","family":"Budiarto","given":"Mega Teguh","non-dropping-particle":"","parse-names":false,"suffix":""},{"dropping-particle":"","family":"Lukito","given":"Agung","non-dropping-particle":"","parse-names":false,"suffix":""}],"container-title":"Jurnal Matematika Kreatif-Inovatif","id":"ITEM-1","issue":"1","issued":{"date-parts":[["2018"]]},"page":"11","title":"Profil Pemecahan Masalah Kreatif Siswa MA Ditinjau dari Tingkat Math Self-efficacy","type":"article-journal","volume":"1"},"uris":["http://www.mendeley.com/documents/?uuid=ac63f610-5796-4625-97b7-4a59242fd948"]}],"mendeley":{"formattedCitation":"(Widodo et al., 2018)","manualFormatting":"Widodo et al., (2018)","plainTextFormattedCitation":"(Widodo et al., 2018)","previouslyFormattedCitation":"(Widodo et al., 2018)"},"properties":{"noteIndex":0},"schema":"https://github.com/citation-style-language/schema/raw/master/csl-citation.json"}</w:instrText>
      </w:r>
      <w:r>
        <w:rPr>
          <w:rFonts w:eastAsia="Times New Roman" w:cs="Times New Roman" w:asciiTheme="majorHAnsi" w:hAnsiTheme="majorHAnsi"/>
          <w:kern w:val="0"/>
          <w:sz w:val="24"/>
          <w:szCs w:val="24"/>
          <w:lang w:eastAsia="id-ID" w:bidi="ar-SA"/>
          <w14:ligatures w14:val="none"/>
        </w:rPr>
        <w:fldChar w:fldCharType="separate"/>
      </w:r>
      <w:r>
        <w:rPr>
          <w:rFonts w:eastAsia="Times New Roman" w:cs="Times New Roman" w:asciiTheme="majorHAnsi" w:hAnsiTheme="majorHAnsi"/>
          <w:kern w:val="0"/>
          <w:sz w:val="24"/>
          <w:szCs w:val="24"/>
          <w:lang w:eastAsia="id-ID" w:bidi="ar-SA"/>
          <w14:ligatures w14:val="none"/>
        </w:rPr>
        <w:t>Widodo et al., (2018)</w:t>
      </w:r>
      <w:r>
        <w:rPr>
          <w:rFonts w:eastAsia="Times New Roman" w:cs="Times New Roman" w:asciiTheme="majorHAnsi" w:hAnsiTheme="majorHAnsi"/>
          <w:kern w:val="0"/>
          <w:sz w:val="24"/>
          <w:szCs w:val="24"/>
          <w:lang w:eastAsia="id-ID" w:bidi="ar-SA"/>
          <w14:ligatures w14:val="none"/>
        </w:rPr>
        <w:fldChar w:fldCharType="end"/>
      </w:r>
      <w:r>
        <w:rPr>
          <w:rFonts w:eastAsia="Times New Roman" w:cs="Times New Roman" w:asciiTheme="majorHAnsi" w:hAnsiTheme="majorHAnsi"/>
          <w:kern w:val="0"/>
          <w:sz w:val="24"/>
          <w:szCs w:val="24"/>
          <w:lang w:eastAsia="id-ID" w:bidi="ar-SA"/>
          <w14:ligatures w14:val="none"/>
        </w:rPr>
        <w:t>that students with high abilities are able to apply special methods in carrying out calculations to solve problems.</w:t>
      </w:r>
      <w:r>
        <w:rPr>
          <w:rFonts w:hint="default" w:eastAsia="Times New Roman" w:cs="Times New Roman" w:asciiTheme="majorHAnsi" w:hAnsiTheme="majorHAnsi"/>
          <w:kern w:val="0"/>
          <w:sz w:val="24"/>
          <w:szCs w:val="24"/>
          <w:lang w:val="en-US" w:eastAsia="id-ID" w:bidi="ar-SA"/>
          <w14:ligatures w14:val="none"/>
        </w:rPr>
        <w:t xml:space="preserve"> </w:t>
      </w:r>
      <w:r>
        <w:rPr>
          <w:rFonts w:ascii="Cambria" w:hAnsi="Cambria" w:eastAsia="Cambria" w:cs="Cambria"/>
          <w:iCs/>
          <w:sz w:val="24"/>
          <w:szCs w:val="24"/>
        </w:rPr>
        <w:t xml:space="preserve">can be seen in </w:t>
      </w:r>
      <w:r>
        <w:rPr>
          <w:rFonts w:hint="default" w:ascii="Cambria" w:hAnsi="Cambria" w:eastAsia="Cambria" w:cs="Cambria"/>
          <w:iCs/>
          <w:sz w:val="24"/>
          <w:szCs w:val="24"/>
          <w:lang w:val="en-US"/>
        </w:rPr>
        <w:t>Figure 3</w:t>
      </w:r>
      <w:r>
        <w:rPr>
          <w:rFonts w:ascii="Cambria" w:hAnsi="Cambria" w:eastAsia="Cambria" w:cs="Cambria"/>
          <w:iCs/>
          <w:sz w:val="24"/>
          <w:szCs w:val="24"/>
        </w:rPr>
        <w:t>. as follows</w:t>
      </w:r>
      <w:r>
        <w:rPr>
          <w:rFonts w:cs="Times New Roman" w:asciiTheme="majorHAnsi" w:hAnsiTheme="majorHAnsi"/>
          <w:sz w:val="24"/>
          <w:szCs w:val="24"/>
        </w:rPr>
        <w:t>.</w:t>
      </w:r>
    </w:p>
    <w:p w14:paraId="4A86354A">
      <w:pPr>
        <w:pStyle w:val="38"/>
        <w:spacing w:after="0" w:line="240" w:lineRule="auto"/>
        <w:ind w:left="360" w:firstLine="360"/>
        <w:jc w:val="both"/>
        <w:rPr>
          <w:rFonts w:eastAsia="Times New Roman" w:cs="Times New Roman" w:asciiTheme="majorHAnsi" w:hAnsiTheme="majorHAnsi"/>
          <w:kern w:val="0"/>
          <w:sz w:val="24"/>
          <w:szCs w:val="24"/>
          <w:lang w:eastAsia="id-ID" w:bidi="ar-SA"/>
          <w14:ligatures w14:val="none"/>
        </w:rPr>
      </w:pPr>
    </w:p>
    <w:p w14:paraId="159D3563">
      <w:pPr>
        <w:spacing w:line="240" w:lineRule="auto"/>
        <w:jc w:val="center"/>
        <w:rPr>
          <w:rFonts w:cs="Times New Roman" w:asciiTheme="majorHAnsi" w:hAnsiTheme="majorHAnsi"/>
          <w:sz w:val="24"/>
          <w:szCs w:val="24"/>
        </w:rPr>
      </w:pPr>
      <w:r>
        <w:drawing>
          <wp:inline distT="0" distB="0" distL="0" distR="0">
            <wp:extent cx="3148330" cy="339725"/>
            <wp:effectExtent l="0" t="0" r="0" b="3175"/>
            <wp:docPr id="801039906"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39906" name="Gambar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43490" cy="350473"/>
                    </a:xfrm>
                    <a:prstGeom prst="rect">
                      <a:avLst/>
                    </a:prstGeom>
                    <a:noFill/>
                    <a:ln>
                      <a:noFill/>
                    </a:ln>
                  </pic:spPr>
                </pic:pic>
              </a:graphicData>
            </a:graphic>
          </wp:inline>
        </w:drawing>
      </w:r>
    </w:p>
    <w:p w14:paraId="4B15E663">
      <w:pPr>
        <w:spacing w:line="240" w:lineRule="auto"/>
        <w:jc w:val="center"/>
        <w:rPr>
          <w:rFonts w:eastAsia="Times New Roman" w:cs="Times New Roman" w:asciiTheme="majorHAnsi" w:hAnsiTheme="majorHAnsi"/>
          <w:sz w:val="24"/>
          <w:szCs w:val="24"/>
        </w:rPr>
      </w:pPr>
      <w:r>
        <w:rPr>
          <w:rFonts w:eastAsia="Times New Roman" w:cs="Times New Roman" w:asciiTheme="majorHAnsi" w:hAnsiTheme="majorHAnsi"/>
          <w:sz w:val="24"/>
          <w:szCs w:val="24"/>
        </w:rPr>
        <w:t>Figure 3. Answer to Question Number 3 for High Category Students</w:t>
      </w:r>
    </w:p>
    <w:p w14:paraId="71BB758E">
      <w:pPr>
        <w:pStyle w:val="38"/>
        <w:spacing w:after="0" w:line="240" w:lineRule="auto"/>
        <w:ind w:left="360" w:firstLine="360"/>
        <w:jc w:val="both"/>
        <w:rPr>
          <w:rFonts w:hint="default" w:eastAsia="Times New Roman" w:cs="Times New Roman" w:asciiTheme="majorHAnsi" w:hAnsiTheme="majorHAnsi"/>
          <w:kern w:val="0"/>
          <w:sz w:val="24"/>
          <w:szCs w:val="24"/>
          <w:lang w:val="en-US" w:eastAsia="id-ID" w:bidi="ar-SA"/>
          <w14:ligatures w14:val="none"/>
        </w:rPr>
      </w:pPr>
      <w:r>
        <w:rPr>
          <w:rFonts w:eastAsia="Times New Roman" w:cs="Times New Roman" w:asciiTheme="majorHAnsi" w:hAnsiTheme="majorHAnsi"/>
          <w:kern w:val="0"/>
          <w:sz w:val="24"/>
          <w:szCs w:val="24"/>
          <w:lang w:eastAsia="id-ID" w:bidi="ar-SA"/>
          <w14:ligatures w14:val="none"/>
        </w:rPr>
        <w:t>Figure 3 shows that students are able to draw conclusions from the results obtained. Students' ability to draw correct conclusions shows that the students understand the meaning of their calculation results. In line with research</w:t>
      </w:r>
      <w:r>
        <w:rPr>
          <w:rFonts w:eastAsia="Times New Roman" w:cs="Times New Roman" w:asciiTheme="majorHAnsi" w:hAnsiTheme="majorHAnsi"/>
          <w:kern w:val="0"/>
          <w:sz w:val="24"/>
          <w:szCs w:val="24"/>
          <w:lang w:eastAsia="id-ID" w:bidi="ar-SA"/>
          <w14:ligatures w14:val="none"/>
        </w:rPr>
        <w:fldChar w:fldCharType="begin" w:fldLock="1"/>
      </w:r>
      <w:r>
        <w:rPr>
          <w:rFonts w:eastAsia="Times New Roman" w:cs="Times New Roman" w:asciiTheme="majorHAnsi" w:hAnsiTheme="majorHAnsi"/>
          <w:kern w:val="0"/>
          <w:sz w:val="24"/>
          <w:szCs w:val="24"/>
          <w:lang w:eastAsia="id-ID" w:bidi="ar-SA"/>
          <w14:ligatures w14:val="none"/>
        </w:rPr>
        <w:instrText xml:space="preserve">ADDIN CSL_CITATION {"citationItems":[{"id":"ITEM-1","itemData":{"abstract":"Pemahaman matematika merupakan tujuan penting dalam pembelajaran matematika. Konsep pembelajaran matematika yang abstrak membuat siswa kesulitan dalam memahami materi dan menyelesaikan soal. Penelitian ini menggunakan jenis penelitian deskriptif dengan menggunakan pendekatan kualitatif. yang bertujuan untuk: 1) melihat kemampuan pemahaman konsep matematika siswa yang diukur berdasarkan hasil observasi terhadap proses pembelajaran dan hasil tes pada materi sistem persamaan linear tiga variabel; 2) mendeskripsikan kemampuan pemahaman konsep matematika siswa. Pemahaman yang digunakan untuk penelitian ini yaitu pemahaman translasi (translation), pemahaman interpretasi (interpretation) dan pemahaman ekstrapolasi (ekstrapolation). Penelitian ini dilakukan melalui tiga tahap, yaitu tahap pertama melakukan persiapan, tahap kedua yakni melakukan pelaksanaan dan tahap ketiga adalah tahap akhir yakni menuliskan laporan dari hasil penelitian. Dari hasil observasi terhadap proses pembelajaran dan hasil tes yang diberikan diperoleh dari seluruh subjek penelitian hanya terdapat beberapa siswa yang mampu memahami konsep matematika dengan baik yakni dapat menguasai semua indikator pemahaman, juga terdapat beberapa siswa yang mampu menguasai dua indikator pemahaman dan adapula siswa yang hanya mampu menguasai satu indikator pemahaman saja. Kata-kata","author":[{"dropping-particle":"","family":"Nababan","given":"Siti Aminah","non-dropping-particle":"","parse-names":false,"suffix":""},{"dropping-particle":"","family":"Tanjung","given":"Henra Saputra","non-dropping-particle":"","parse-names":false,"suffix":""}],"container-title":"Genta Mulia:Jurnal Ilmiah Pendidikan","id":"ITEM-1","issue":"2","issued":{"date-parts":[["2020"]]},"page":"354-364","title":"Analisis Kemampuan Siswa dalam Memahami Konsep Matematika pada Materi Sistem Persamaan Linear Tiga Variabel","type":"article-journal","volume":"13"},"uris":["http://www.mendeley.com/documents/?uuid=984e5eca-ba65-4cec-afe6-c9ae8827c944"]}],"mendeley":{"formattedCitation":"(Nababan &amp; Tanjung, 2020)","manualFormatting":"Nababan &amp; Tanjung (2020)","plainTextFormattedCitation":"(Nababan &amp; Tanjung, 2020)","previouslyFormattedCitation":"(Nababan &amp; Tanjung, 2020)"},"properties":{"noteIndex":0},"schema":"https://github.com/citation-style-language/schema/raw/master/csl-citation.json"}</w:instrText>
      </w:r>
      <w:r>
        <w:rPr>
          <w:rFonts w:eastAsia="Times New Roman" w:cs="Times New Roman" w:asciiTheme="majorHAnsi" w:hAnsiTheme="majorHAnsi"/>
          <w:kern w:val="0"/>
          <w:sz w:val="24"/>
          <w:szCs w:val="24"/>
          <w:lang w:eastAsia="id-ID" w:bidi="ar-SA"/>
          <w14:ligatures w14:val="none"/>
        </w:rPr>
        <w:fldChar w:fldCharType="separate"/>
      </w:r>
      <w:r>
        <w:rPr>
          <w:rFonts w:eastAsia="Times New Roman" w:cs="Times New Roman" w:asciiTheme="majorHAnsi" w:hAnsiTheme="majorHAnsi"/>
          <w:kern w:val="0"/>
          <w:sz w:val="24"/>
          <w:szCs w:val="24"/>
          <w:lang w:eastAsia="id-ID" w:bidi="ar-SA"/>
          <w14:ligatures w14:val="none"/>
        </w:rPr>
        <w:t>The Nababan &amp; Tanjung (2020)</w:t>
      </w:r>
      <w:r>
        <w:rPr>
          <w:rFonts w:eastAsia="Times New Roman" w:cs="Times New Roman" w:asciiTheme="majorHAnsi" w:hAnsiTheme="majorHAnsi"/>
          <w:kern w:val="0"/>
          <w:sz w:val="24"/>
          <w:szCs w:val="24"/>
          <w:lang w:eastAsia="id-ID" w:bidi="ar-SA"/>
          <w14:ligatures w14:val="none"/>
        </w:rPr>
        <w:fldChar w:fldCharType="end"/>
      </w:r>
      <w:r>
        <w:rPr>
          <w:rFonts w:eastAsia="Times New Roman" w:cs="Times New Roman" w:asciiTheme="majorHAnsi" w:hAnsiTheme="majorHAnsi"/>
          <w:kern w:val="0"/>
          <w:sz w:val="24"/>
          <w:szCs w:val="24"/>
          <w:lang w:eastAsia="id-ID" w:bidi="ar-SA"/>
          <w14:ligatures w14:val="none"/>
        </w:rPr>
        <w:t>that students with high abilities in the extrapolation indicator are able to make good and accurate conclusions</w:t>
      </w:r>
      <w:r>
        <w:rPr>
          <w:rFonts w:hint="default" w:eastAsia="Times New Roman" w:cs="Times New Roman" w:asciiTheme="majorHAnsi" w:hAnsiTheme="majorHAnsi"/>
          <w:kern w:val="0"/>
          <w:sz w:val="24"/>
          <w:szCs w:val="24"/>
          <w:lang w:val="en-US" w:eastAsia="id-ID" w:bidi="ar-SA"/>
          <w14:ligatures w14:val="none"/>
        </w:rPr>
        <w:t xml:space="preserve"> </w:t>
      </w:r>
      <w:r>
        <w:rPr>
          <w:rFonts w:ascii="Cambria" w:hAnsi="Cambria" w:eastAsia="Cambria" w:cs="Cambria"/>
          <w:iCs/>
          <w:sz w:val="24"/>
          <w:szCs w:val="24"/>
        </w:rPr>
        <w:t xml:space="preserve">can be seen in </w:t>
      </w:r>
      <w:r>
        <w:rPr>
          <w:rFonts w:hint="default" w:ascii="Cambria" w:hAnsi="Cambria" w:eastAsia="Cambria" w:cs="Cambria"/>
          <w:iCs/>
          <w:sz w:val="24"/>
          <w:szCs w:val="24"/>
          <w:lang w:val="en-US"/>
        </w:rPr>
        <w:t>Figure 4</w:t>
      </w:r>
      <w:r>
        <w:rPr>
          <w:rFonts w:ascii="Cambria" w:hAnsi="Cambria" w:eastAsia="Cambria" w:cs="Cambria"/>
          <w:iCs/>
          <w:sz w:val="24"/>
          <w:szCs w:val="24"/>
        </w:rPr>
        <w:t>. as follows</w:t>
      </w:r>
      <w:r>
        <w:rPr>
          <w:rFonts w:cs="Times New Roman" w:asciiTheme="majorHAnsi" w:hAnsiTheme="majorHAnsi"/>
          <w:sz w:val="24"/>
          <w:szCs w:val="24"/>
        </w:rPr>
        <w:t>.</w:t>
      </w:r>
    </w:p>
    <w:p w14:paraId="5E03823D">
      <w:pPr>
        <w:pStyle w:val="38"/>
        <w:spacing w:after="0" w:line="240" w:lineRule="auto"/>
        <w:ind w:left="360" w:firstLine="360"/>
        <w:jc w:val="both"/>
        <w:rPr>
          <w:rFonts w:eastAsia="Times New Roman" w:cs="Times New Roman" w:asciiTheme="majorHAnsi" w:hAnsiTheme="majorHAnsi"/>
          <w:kern w:val="0"/>
          <w:sz w:val="24"/>
          <w:szCs w:val="24"/>
          <w:lang w:eastAsia="id-ID" w:bidi="ar-SA"/>
          <w14:ligatures w14:val="none"/>
        </w:rPr>
      </w:pPr>
    </w:p>
    <w:p w14:paraId="49165370">
      <w:pPr>
        <w:pStyle w:val="38"/>
        <w:numPr>
          <w:ilvl w:val="0"/>
          <w:numId w:val="1"/>
        </w:numPr>
        <w:spacing w:after="0" w:line="240" w:lineRule="auto"/>
        <w:jc w:val="both"/>
        <w:rPr>
          <w:rFonts w:cs="Times New Roman" w:asciiTheme="majorHAnsi" w:hAnsiTheme="majorHAnsi"/>
          <w:i/>
          <w:iCs/>
          <w:sz w:val="24"/>
          <w:szCs w:val="24"/>
        </w:rPr>
      </w:pPr>
      <w:r>
        <w:rPr>
          <w:rFonts w:cs="Times New Roman" w:asciiTheme="majorHAnsi" w:hAnsiTheme="majorHAnsi"/>
          <w:i/>
          <w:iCs/>
          <w:sz w:val="24"/>
          <w:szCs w:val="24"/>
        </w:rPr>
        <w:t>Students with Moderate Mathematical Concept Understanding Ability</w:t>
      </w:r>
    </w:p>
    <w:p w14:paraId="788BD895">
      <w:pPr>
        <w:spacing w:after="0" w:line="240" w:lineRule="auto"/>
        <w:jc w:val="both"/>
        <w:rPr>
          <w:rFonts w:eastAsia="Times New Roman" w:cs="Times New Roman" w:asciiTheme="majorHAnsi" w:hAnsiTheme="majorHAnsi"/>
          <w:sz w:val="24"/>
          <w:szCs w:val="24"/>
        </w:rPr>
      </w:pPr>
    </w:p>
    <w:p w14:paraId="2800D7B9">
      <w:pPr>
        <w:spacing w:line="240" w:lineRule="auto"/>
        <w:jc w:val="center"/>
        <w:rPr>
          <w:rFonts w:eastAsia="Times New Roman" w:cs="Times New Roman" w:asciiTheme="majorHAnsi" w:hAnsiTheme="majorHAnsi"/>
          <w:sz w:val="24"/>
          <w:szCs w:val="24"/>
        </w:rPr>
      </w:pPr>
      <w:r>
        <w:drawing>
          <wp:inline distT="0" distB="0" distL="0" distR="0">
            <wp:extent cx="2477135" cy="353060"/>
            <wp:effectExtent l="0" t="0" r="0" b="8890"/>
            <wp:docPr id="34565101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1011" name="Gambar 4"/>
                    <pic:cNvPicPr>
                      <a:picLocks noChangeAspect="1" noChangeArrowheads="1"/>
                    </pic:cNvPicPr>
                  </pic:nvPicPr>
                  <pic:blipFill>
                    <a:blip r:embed="rId14" cstate="print">
                      <a:extLst>
                        <a:ext uri="{28A0092B-C50C-407E-A947-70E740481C1C}">
                          <a14:useLocalDpi xmlns:a14="http://schemas.microsoft.com/office/drawing/2010/main" val="0"/>
                        </a:ext>
                      </a:extLst>
                    </a:blip>
                    <a:srcRect t="8408" r="10298"/>
                    <a:stretch>
                      <a:fillRect/>
                    </a:stretch>
                  </pic:blipFill>
                  <pic:spPr>
                    <a:xfrm>
                      <a:off x="0" y="0"/>
                      <a:ext cx="2517266" cy="358726"/>
                    </a:xfrm>
                    <a:prstGeom prst="rect">
                      <a:avLst/>
                    </a:prstGeom>
                    <a:noFill/>
                    <a:ln>
                      <a:noFill/>
                    </a:ln>
                  </pic:spPr>
                </pic:pic>
              </a:graphicData>
            </a:graphic>
          </wp:inline>
        </w:drawing>
      </w:r>
    </w:p>
    <w:p w14:paraId="436096F8">
      <w:pPr>
        <w:spacing w:line="240" w:lineRule="auto"/>
        <w:jc w:val="center"/>
        <w:rPr>
          <w:rFonts w:eastAsia="Times New Roman" w:cs="Times New Roman" w:asciiTheme="majorHAnsi" w:hAnsiTheme="majorHAnsi"/>
          <w:sz w:val="24"/>
          <w:szCs w:val="24"/>
        </w:rPr>
      </w:pPr>
      <w:r>
        <w:rPr>
          <w:rFonts w:eastAsia="Times New Roman" w:cs="Times New Roman" w:asciiTheme="majorHAnsi" w:hAnsiTheme="majorHAnsi"/>
          <w:sz w:val="24"/>
          <w:szCs w:val="24"/>
        </w:rPr>
        <w:t>Figure 4. Answer to Question Number 1 for Students in the Medium Category</w:t>
      </w:r>
    </w:p>
    <w:p w14:paraId="6B8C7BDC">
      <w:pPr>
        <w:pStyle w:val="38"/>
        <w:spacing w:after="0" w:line="240" w:lineRule="auto"/>
        <w:ind w:left="360" w:firstLine="360"/>
        <w:jc w:val="both"/>
        <w:rPr>
          <w:rFonts w:hint="default" w:eastAsia="Times New Roman" w:cs="Times New Roman" w:asciiTheme="majorHAnsi" w:hAnsiTheme="majorHAnsi"/>
          <w:sz w:val="24"/>
          <w:szCs w:val="24"/>
          <w:lang w:val="en-US"/>
        </w:rPr>
      </w:pPr>
      <w:r>
        <w:rPr>
          <w:rFonts w:eastAsia="Times New Roman" w:cs="Times New Roman" w:asciiTheme="majorHAnsi" w:hAnsiTheme="majorHAnsi"/>
          <w:sz w:val="24"/>
          <w:szCs w:val="24"/>
        </w:rPr>
        <w:t>Based on Figure 4, it can be seen that students in the medium category are able to change a story sentence into its mathematical equation form correctly. This ability shows that students have understood the relationship between concepts and have succeeded in modeling real situations into mathematical symbols. This is in line with the opinion</w:t>
      </w:r>
      <w:bookmarkStart w:id="7" w:name="_Hlk192414916"/>
      <w:r>
        <w:rPr>
          <w:rFonts w:eastAsia="Times New Roman" w:cs="Times New Roman" w:asciiTheme="majorHAnsi" w:hAnsiTheme="majorHAnsi"/>
          <w:sz w:val="24"/>
          <w:szCs w:val="24"/>
        </w:rPr>
        <w:fldChar w:fldCharType="begin" w:fldLock="1"/>
      </w:r>
      <w:r>
        <w:rPr>
          <w:rFonts w:eastAsia="Times New Roman" w:cs="Times New Roman" w:asciiTheme="majorHAnsi" w:hAnsiTheme="majorHAnsi"/>
          <w:sz w:val="24"/>
          <w:szCs w:val="24"/>
        </w:rPr>
        <w:instrText xml:space="preserve">ADDIN CSL_CITATION {"citationItems":[{"id":"ITEM-1","itemData":{"author":[{"dropping-particle":"","family":"Sefiany","given":"N","non-dropping-particle":"","parse-names":false,"suffix":""},{"dropping-particle":"","family":"Masrukan","given":"","non-dropping-particle":"","parse-names":false,"suffix":""},{"dropping-particle":"","family":"Zaenuri","given":"","non-dropping-particle":"","parse-names":false,"suffix":""}],"container-title":"Unnes Journal of Mathematics Education","id":"ITEM-1","issue":"3","issued":{"date-parts":[["2016"]]},"page":"227-233","title":"KEMAMPUAN KOMUNIKASI MATEMATIS SISWA KELAS VII PADA MODEL Info Artikel Abstrak","type":"article-journal","volume":"5"},"uris":["http://www.mendeley.com/documents/?uuid=c97e72b2-93f1-40ba-8e4c-def9e68428e5"]}],"mendeley":{"formattedCitation":"(Sefiany et al., 2016)","manualFormatting":"Sefiany et al., (2016)","plainTextFormattedCitation":"(Sefiany et al., 2016)","previouslyFormattedCitation":"(Sefiany et al., 2016)"},"properties":{"noteIndex":0},"schema":"https://github.com/citation-style-language/schema/raw/master/csl-citation.json"}</w:instrText>
      </w:r>
      <w:r>
        <w:rPr>
          <w:rFonts w:eastAsia="Times New Roman" w:cs="Times New Roman" w:asciiTheme="majorHAnsi" w:hAnsiTheme="majorHAnsi"/>
          <w:sz w:val="24"/>
          <w:szCs w:val="24"/>
        </w:rPr>
        <w:fldChar w:fldCharType="separate"/>
      </w:r>
      <w:r>
        <w:rPr>
          <w:rFonts w:eastAsia="Times New Roman" w:cs="Times New Roman" w:asciiTheme="majorHAnsi" w:hAnsiTheme="majorHAnsi"/>
          <w:sz w:val="24"/>
          <w:szCs w:val="24"/>
        </w:rPr>
        <w:t>Sefiany et al., (2016)</w:t>
      </w:r>
      <w:r>
        <w:rPr>
          <w:rFonts w:eastAsia="Times New Roman" w:cs="Times New Roman" w:asciiTheme="majorHAnsi" w:hAnsiTheme="majorHAnsi"/>
          <w:sz w:val="24"/>
          <w:szCs w:val="24"/>
        </w:rPr>
        <w:fldChar w:fldCharType="end"/>
      </w:r>
      <w:r>
        <w:rPr>
          <w:rFonts w:eastAsia="Times New Roman" w:cs="Times New Roman" w:asciiTheme="majorHAnsi" w:hAnsiTheme="majorHAnsi"/>
          <w:sz w:val="24"/>
          <w:szCs w:val="24"/>
        </w:rPr>
        <w:t xml:space="preserve">  that students are able to interpret mathematical ideas appropriately according to mathematical concepts</w:t>
      </w:r>
      <w:bookmarkEnd w:id="7"/>
      <w:r>
        <w:rPr>
          <w:rFonts w:hint="default" w:eastAsia="Times New Roman" w:cs="Times New Roman" w:asciiTheme="majorHAnsi" w:hAnsiTheme="majorHAnsi"/>
          <w:sz w:val="24"/>
          <w:szCs w:val="24"/>
          <w:lang w:val="en-US"/>
        </w:rPr>
        <w:t xml:space="preserve"> </w:t>
      </w:r>
      <w:r>
        <w:rPr>
          <w:rFonts w:ascii="Cambria" w:hAnsi="Cambria" w:eastAsia="Cambria" w:cs="Cambria"/>
          <w:iCs/>
          <w:sz w:val="24"/>
          <w:szCs w:val="24"/>
        </w:rPr>
        <w:t xml:space="preserve">can be seen in </w:t>
      </w:r>
      <w:r>
        <w:rPr>
          <w:rFonts w:hint="default" w:ascii="Cambria" w:hAnsi="Cambria" w:eastAsia="Cambria" w:cs="Cambria"/>
          <w:iCs/>
          <w:sz w:val="24"/>
          <w:szCs w:val="24"/>
          <w:lang w:val="en-US"/>
        </w:rPr>
        <w:t>Figure 5</w:t>
      </w:r>
      <w:r>
        <w:rPr>
          <w:rFonts w:ascii="Cambria" w:hAnsi="Cambria" w:eastAsia="Cambria" w:cs="Cambria"/>
          <w:iCs/>
          <w:sz w:val="24"/>
          <w:szCs w:val="24"/>
        </w:rPr>
        <w:t>. as follows</w:t>
      </w:r>
      <w:r>
        <w:rPr>
          <w:rFonts w:cs="Times New Roman" w:asciiTheme="majorHAnsi" w:hAnsiTheme="majorHAnsi"/>
          <w:sz w:val="24"/>
          <w:szCs w:val="24"/>
        </w:rPr>
        <w:t>.</w:t>
      </w:r>
    </w:p>
    <w:p w14:paraId="0778A9FA">
      <w:pPr>
        <w:pStyle w:val="38"/>
        <w:spacing w:after="0" w:line="240" w:lineRule="auto"/>
        <w:ind w:left="360" w:firstLine="360"/>
        <w:jc w:val="both"/>
        <w:rPr>
          <w:rFonts w:cs="Times New Roman" w:asciiTheme="majorHAnsi" w:hAnsiTheme="majorHAnsi"/>
          <w:sz w:val="24"/>
          <w:szCs w:val="24"/>
        </w:rPr>
      </w:pPr>
    </w:p>
    <w:p w14:paraId="3B1D8375">
      <w:pPr>
        <w:spacing w:line="240" w:lineRule="auto"/>
        <w:jc w:val="center"/>
        <w:rPr>
          <w:rFonts w:eastAsia="Times New Roman" w:cs="Times New Roman" w:asciiTheme="majorHAnsi" w:hAnsiTheme="majorHAnsi"/>
          <w:sz w:val="24"/>
          <w:szCs w:val="24"/>
        </w:rPr>
      </w:pPr>
      <w:r>
        <w:drawing>
          <wp:inline distT="0" distB="0" distL="0" distR="0">
            <wp:extent cx="2503805" cy="318135"/>
            <wp:effectExtent l="0" t="0" r="0" b="5715"/>
            <wp:docPr id="238921279"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21279" name="Gambar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1970" cy="323088"/>
                    </a:xfrm>
                    <a:prstGeom prst="rect">
                      <a:avLst/>
                    </a:prstGeom>
                    <a:noFill/>
                    <a:ln>
                      <a:noFill/>
                    </a:ln>
                  </pic:spPr>
                </pic:pic>
              </a:graphicData>
            </a:graphic>
          </wp:inline>
        </w:drawing>
      </w:r>
    </w:p>
    <w:p w14:paraId="7648FCB6">
      <w:pPr>
        <w:spacing w:line="240" w:lineRule="auto"/>
        <w:jc w:val="center"/>
        <w:rPr>
          <w:rFonts w:eastAsia="Times New Roman" w:cs="Times New Roman" w:asciiTheme="majorHAnsi" w:hAnsiTheme="majorHAnsi"/>
          <w:sz w:val="24"/>
          <w:szCs w:val="24"/>
        </w:rPr>
      </w:pPr>
      <w:r>
        <w:rPr>
          <w:rFonts w:eastAsia="Times New Roman" w:cs="Times New Roman" w:asciiTheme="majorHAnsi" w:hAnsiTheme="majorHAnsi"/>
          <w:sz w:val="24"/>
          <w:szCs w:val="24"/>
        </w:rPr>
        <w:t>Figure 5. Answers to Question Number 2 for Students in the Medium Category</w:t>
      </w:r>
    </w:p>
    <w:p w14:paraId="6913D0D2">
      <w:pPr>
        <w:pStyle w:val="38"/>
        <w:spacing w:after="0" w:line="240" w:lineRule="auto"/>
        <w:ind w:left="360" w:firstLine="360"/>
        <w:jc w:val="both"/>
        <w:rPr>
          <w:rFonts w:hint="default" w:eastAsia="Times New Roman" w:cs="Times New Roman" w:asciiTheme="majorHAnsi" w:hAnsiTheme="majorHAnsi"/>
          <w:sz w:val="24"/>
          <w:szCs w:val="24"/>
          <w:lang w:val="en-US"/>
        </w:rPr>
      </w:pPr>
      <w:r>
        <w:rPr>
          <w:rFonts w:eastAsia="Times New Roman" w:cs="Times New Roman" w:asciiTheme="majorHAnsi" w:hAnsiTheme="majorHAnsi"/>
          <w:sz w:val="24"/>
          <w:szCs w:val="24"/>
        </w:rPr>
        <w:t>Based on Figure 5, it can be seen that students in the medium category have not been able to calculate correctly. Errors occur in the calculation steps, which cause the final answer to not match the results that should be. It is possible that this error occurs because students are not careful in performing integer operations, such as subtraction between two integers. In line with research</w:t>
      </w:r>
      <w:r>
        <w:rPr>
          <w:rFonts w:eastAsia="Times New Roman" w:cs="Times New Roman" w:asciiTheme="majorHAnsi" w:hAnsiTheme="majorHAnsi"/>
          <w:sz w:val="24"/>
          <w:szCs w:val="24"/>
        </w:rPr>
        <w:fldChar w:fldCharType="begin" w:fldLock="1"/>
      </w:r>
      <w:r>
        <w:rPr>
          <w:rFonts w:eastAsia="Times New Roman" w:cs="Times New Roman" w:asciiTheme="majorHAnsi" w:hAnsiTheme="majorHAnsi"/>
          <w:sz w:val="24"/>
          <w:szCs w:val="24"/>
        </w:rPr>
        <w:instrText xml:space="preserve">ADDIN CSL_CITATION {"citationItems":[{"id":"ITEM-1","itemData":{"DOI":"10.26877/imajiner.v5i1.12702","abstract":"Penelitian ini dilatarbelakangi oleh rendahnya nilai siswa kelas VII pada mata pelajaran matematika, khususnya pada materi operasi hitung bilangan bulat. Rendahnya nilai siswa menjadikan alasan peneliti untuk meneliti jenis kesalahan apa saja yang dilakukan dalam menyelesaikan soal. Kesalahan yang dilakukan siswa dalam menyelesaikan soal memiliki jenis kesalahan yang beragam disetiap proses penyelesaianya. Oleh karena itu, untuk mengelompokkan kesalahan-kesalahan yang ada peneliti menggunakan kriteria kesalahan menurut Watson. Tujuan penelitian ini adalah untuk mengetahui dan mengidentifikasikan jenis-jenis kesalahan yang dilakukan siswa dalam mengerjakan soal cerita matematika berdasarkan kriteria Watson di SMP Negeri 34 Semarang. Jenis penelitian ini merupakan penelitian kualitatif. Subjek penelitian ini terdiri dari 34 siswa kelas VII H selanjutnya dipilih 6 siswa untuk dijadikan subjek berdasarkan klasifikasi nilai tinggi, sedang, dan rendah. Pengumpulan data yang dilakukan yaitu memberikan soal cerita matematika pada materi operasi hitung bilangan bulat dan wawancara. Teknis analisis data dilakukan dengan 4 tahapan yaitu pengumpulan data, reduksi data, penyajian data, dan penarikan kesimpulan. Keabsahan data menggunakan triangulasi teknik yaitu membandingkan hasil tes kesalahan yang dilakukan oleh siswa dalam mengerjakan soal cerita dan hasil wawancara. Berdasarkan hasil analisis data subjek nilai tinggi melakukan 2 kesalahan yaitu data tidak tepat (inappropriate data/id) dan prosedur data tidak tepat (inappropriate procedure/ip), subjek nilai sedang dan rendah melakukan 4 kesalahan yaitu tidak tepat (inappropriate data/ id), prosedur tidak tepat (inappropriate procedure/ ip), konflik level respon (response level conflict/rlc), kesimpulan hilang (ommited conclusion/oc).","author":[{"dropping-particle":"","family":"Nur","given":"Alfin Febrian","non-dropping-particle":"","parse-names":false,"suffix":""},{"dropping-particle":"","family":"Prasetyowati","given":"Dina","non-dropping-particle":"","parse-names":false,"suffix":""},{"dropping-particle":"","family":"Ariyanto","given":"Lilik","non-dropping-particle":"","parse-names":false,"suffix":""}],"container-title":"Imajiner: Jurnal Matematika dan Pendidikan Matematika","id":"ITEM-1","issue":"1","issued":{"date-parts":[["2023"]]},"page":"9-20","title":"Analisis Kesalahan Siswa Menyelesaikan Soal Cerita Operasi Hitung Bilangan Bulat Berdasarkan Kriteria Watson","type":"article-journal","volume":"5"},"uris":["http://www.mendeley.com/documents/?uuid=6bef9160-ee26-4848-8b02-7609cc3c4852"]}],"mendeley":{"formattedCitation":"(Nur et al., 2023)","manualFormatting":"Nur et al., (2023)","plainTextFormattedCitation":"(Nur et al., 2023)","previouslyFormattedCitation":"(Nur et al., 2023)"},"properties":{"noteIndex":0},"schema":"https://github.com/citation-style-language/schema/raw/master/csl-citation.json"}</w:instrText>
      </w:r>
      <w:r>
        <w:rPr>
          <w:rFonts w:eastAsia="Times New Roman" w:cs="Times New Roman" w:asciiTheme="majorHAnsi" w:hAnsiTheme="majorHAnsi"/>
          <w:sz w:val="24"/>
          <w:szCs w:val="24"/>
        </w:rPr>
        <w:fldChar w:fldCharType="separate"/>
      </w:r>
      <w:r>
        <w:rPr>
          <w:rFonts w:eastAsia="Times New Roman" w:cs="Times New Roman" w:asciiTheme="majorHAnsi" w:hAnsiTheme="majorHAnsi"/>
          <w:sz w:val="24"/>
          <w:szCs w:val="24"/>
        </w:rPr>
        <w:t>Nur et al., (2023)</w:t>
      </w:r>
      <w:r>
        <w:rPr>
          <w:rFonts w:eastAsia="Times New Roman" w:cs="Times New Roman" w:asciiTheme="majorHAnsi" w:hAnsiTheme="majorHAnsi"/>
          <w:sz w:val="24"/>
          <w:szCs w:val="24"/>
        </w:rPr>
        <w:fldChar w:fldCharType="end"/>
      </w:r>
      <w:r>
        <w:rPr>
          <w:rFonts w:eastAsia="Times New Roman" w:cs="Times New Roman" w:asciiTheme="majorHAnsi" w:hAnsiTheme="majorHAnsi"/>
          <w:sz w:val="24"/>
          <w:szCs w:val="24"/>
        </w:rPr>
        <w:t>Students with moderate ability category often make mistakes in arithmetic operations, with the main causal factor being the lack of understanding of the concept of integer arithmetic operations</w:t>
      </w:r>
      <w:r>
        <w:rPr>
          <w:rFonts w:hint="default" w:eastAsia="Times New Roman" w:cs="Times New Roman" w:asciiTheme="majorHAnsi" w:hAnsiTheme="majorHAnsi"/>
          <w:sz w:val="24"/>
          <w:szCs w:val="24"/>
          <w:lang w:val="en-US"/>
        </w:rPr>
        <w:t xml:space="preserve"> </w:t>
      </w:r>
      <w:r>
        <w:rPr>
          <w:rFonts w:ascii="Cambria" w:hAnsi="Cambria" w:eastAsia="Cambria" w:cs="Cambria"/>
          <w:iCs/>
          <w:sz w:val="24"/>
          <w:szCs w:val="24"/>
        </w:rPr>
        <w:t xml:space="preserve">can be seen in </w:t>
      </w:r>
      <w:r>
        <w:rPr>
          <w:rFonts w:hint="default" w:ascii="Cambria" w:hAnsi="Cambria" w:eastAsia="Cambria" w:cs="Cambria"/>
          <w:iCs/>
          <w:sz w:val="24"/>
          <w:szCs w:val="24"/>
          <w:lang w:val="en-US"/>
        </w:rPr>
        <w:t>Figure 6</w:t>
      </w:r>
      <w:r>
        <w:rPr>
          <w:rFonts w:ascii="Cambria" w:hAnsi="Cambria" w:eastAsia="Cambria" w:cs="Cambria"/>
          <w:iCs/>
          <w:sz w:val="24"/>
          <w:szCs w:val="24"/>
        </w:rPr>
        <w:t>. as follows</w:t>
      </w:r>
      <w:r>
        <w:rPr>
          <w:rFonts w:cs="Times New Roman" w:asciiTheme="majorHAnsi" w:hAnsiTheme="majorHAnsi"/>
          <w:sz w:val="24"/>
          <w:szCs w:val="24"/>
        </w:rPr>
        <w:t>.</w:t>
      </w:r>
    </w:p>
    <w:p w14:paraId="383EE820">
      <w:pPr>
        <w:pStyle w:val="38"/>
        <w:spacing w:after="0" w:line="240" w:lineRule="auto"/>
        <w:ind w:left="360" w:firstLine="360"/>
        <w:jc w:val="both"/>
        <w:rPr>
          <w:rFonts w:eastAsia="Times New Roman" w:cs="Times New Roman" w:asciiTheme="majorHAnsi" w:hAnsiTheme="majorHAnsi"/>
          <w:kern w:val="0"/>
          <w:sz w:val="24"/>
          <w:szCs w:val="24"/>
          <w:lang w:eastAsia="id-ID" w:bidi="ar-SA"/>
          <w14:ligatures w14:val="none"/>
        </w:rPr>
      </w:pPr>
    </w:p>
    <w:p w14:paraId="605BD350">
      <w:pPr>
        <w:spacing w:line="240" w:lineRule="auto"/>
        <w:jc w:val="center"/>
        <w:rPr>
          <w:rFonts w:eastAsia="Times New Roman" w:cs="Times New Roman" w:asciiTheme="majorHAnsi" w:hAnsiTheme="majorHAnsi"/>
          <w:sz w:val="24"/>
          <w:szCs w:val="24"/>
        </w:rPr>
      </w:pPr>
      <w:r>
        <w:drawing>
          <wp:inline distT="0" distB="0" distL="0" distR="0">
            <wp:extent cx="3303905" cy="243205"/>
            <wp:effectExtent l="0" t="0" r="0" b="4445"/>
            <wp:docPr id="654652257"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52257" name="Gambar 6"/>
                    <pic:cNvPicPr>
                      <a:picLocks noChangeAspect="1" noChangeArrowheads="1"/>
                    </pic:cNvPicPr>
                  </pic:nvPicPr>
                  <pic:blipFill>
                    <a:blip r:embed="rId16" cstate="print">
                      <a:extLst>
                        <a:ext uri="{28A0092B-C50C-407E-A947-70E740481C1C}">
                          <a14:useLocalDpi xmlns:a14="http://schemas.microsoft.com/office/drawing/2010/main" val="0"/>
                        </a:ext>
                      </a:extLst>
                    </a:blip>
                    <a:srcRect b="23403"/>
                    <a:stretch>
                      <a:fillRect/>
                    </a:stretch>
                  </pic:blipFill>
                  <pic:spPr>
                    <a:xfrm>
                      <a:off x="0" y="0"/>
                      <a:ext cx="3391841" cy="250181"/>
                    </a:xfrm>
                    <a:prstGeom prst="rect">
                      <a:avLst/>
                    </a:prstGeom>
                    <a:noFill/>
                    <a:ln>
                      <a:noFill/>
                    </a:ln>
                  </pic:spPr>
                </pic:pic>
              </a:graphicData>
            </a:graphic>
          </wp:inline>
        </w:drawing>
      </w:r>
    </w:p>
    <w:p w14:paraId="3DC68D0A">
      <w:pPr>
        <w:spacing w:line="240" w:lineRule="auto"/>
        <w:jc w:val="center"/>
        <w:rPr>
          <w:rFonts w:eastAsia="Times New Roman" w:cs="Times New Roman" w:asciiTheme="majorHAnsi" w:hAnsiTheme="majorHAnsi"/>
          <w:sz w:val="24"/>
          <w:szCs w:val="24"/>
        </w:rPr>
      </w:pPr>
      <w:r>
        <w:rPr>
          <w:rFonts w:eastAsia="Times New Roman" w:cs="Times New Roman" w:asciiTheme="majorHAnsi" w:hAnsiTheme="majorHAnsi"/>
          <w:sz w:val="24"/>
          <w:szCs w:val="24"/>
        </w:rPr>
        <w:t>Figure 6. Answers to Question Number 3 for Students in the Medium Category</w:t>
      </w:r>
    </w:p>
    <w:p w14:paraId="051D7E78">
      <w:pPr>
        <w:pStyle w:val="38"/>
        <w:spacing w:after="0" w:line="240" w:lineRule="auto"/>
        <w:ind w:left="360" w:firstLine="360"/>
        <w:jc w:val="both"/>
        <w:rPr>
          <w:rFonts w:cs="Times New Roman" w:asciiTheme="majorHAnsi" w:hAnsiTheme="majorHAnsi"/>
          <w:sz w:val="24"/>
          <w:szCs w:val="24"/>
        </w:rPr>
      </w:pPr>
      <w:r>
        <w:rPr>
          <w:rFonts w:eastAsia="Times New Roman" w:cs="Times New Roman" w:asciiTheme="majorHAnsi" w:hAnsiTheme="majorHAnsi"/>
          <w:sz w:val="24"/>
          <w:szCs w:val="24"/>
        </w:rPr>
        <w:t>Based on Figure 6, it can be seen that students in the moderate category are good at drawing conclusions, where they have succeeded in conveying the right understanding of the relationship between temperature inside and outside the house. Although the words used by students in concluding are in accordance with the context of the question and describe good understanding, there are errors in the numbers or calculations used to support their conclusions. This is in line with research</w:t>
      </w:r>
      <w:bookmarkStart w:id="8" w:name="_Hlk192414933"/>
      <w:r>
        <w:rPr>
          <w:rFonts w:eastAsia="Times New Roman" w:cs="Times New Roman" w:asciiTheme="majorHAnsi" w:hAnsiTheme="majorHAnsi"/>
          <w:sz w:val="24"/>
          <w:szCs w:val="24"/>
        </w:rPr>
        <w:fldChar w:fldCharType="begin" w:fldLock="1"/>
      </w:r>
      <w:r>
        <w:rPr>
          <w:rFonts w:eastAsia="Times New Roman" w:cs="Times New Roman" w:asciiTheme="majorHAnsi" w:hAnsiTheme="majorHAnsi"/>
          <w:sz w:val="24"/>
          <w:szCs w:val="24"/>
        </w:rPr>
        <w:instrText xml:space="preserve">ADDIN CSL_CITATION {"citationItems":[{"id":"ITEM-1","itemData":{"abstract":"Sediaan bawang tunggal hitam terdiri atas bawang tunggal hitam utuh, ekstrak dan mikroenkapsulat. Senyawa antioksidan dalam sediaan bawang tunggal hitam akan mengalami kerusakan selama penyimpanan. Penelitian ini bertujuan menentukan kinetika degradasi kapasitas antioksidan dan total fenolik pada sediaan bawang tunggal hitam dan memperkirakan umum simpannya dengan metode accelerated shelf-life testing (ASLT). Hasil penelitian menunjukan kapasitas antioksidan dan total fenolik sediaan bawang tunggal hitam mengalami penurunan selama penyimpanan. Total fenolik dijadikan parameter penentuan umur simpan sediaan bawang tunggal hitam. Bawang tunggal hitam utuh mengalami kerusakan lebih cepat dibandingkan sediaan lainnya. Umur simpan sediaan bawang tunggal hitam pada suhu 25°C adalah: bawang tunggal hitam utuh 199 hari, ekstrak bawang tunggal hitam 259 hari, dan mikroenkapsulat 255 hari.","author":[{"dropping-particle":"","family":"Pancarita","given":"","non-dropping-particle":"","parse-names":false,"suffix":""},{"dropping-particle":"","family":"Zainah","given":"","non-dropping-particle":"","parse-names":false,"suffix":""}],"container-title":"Jurnal Pendidikan","id":"ITEM-1","issue":"1","issued":{"date-parts":[["2019"]]},"page":"79-85","title":"Analisis Pemahaman Matematis Siswa dalam Menyelesaikan Soal Cerita pada Materi Komposisi Fungsi","type":"article-journal","volume":"20"},"uris":["http://www.mendeley.com/documents/?uuid=90082e00-3d70-433c-bd1c-d7bc38c7506f"]}],"mendeley":{"formattedCitation":"(Pancarita &amp; Zainah, 2019)","manualFormatting":"Pancarita &amp; Zainah (2019)","plainTextFormattedCitation":"(Pancarita &amp; Zainah, 2019)","previouslyFormattedCitation":"(Pancarita &amp; Zainah, 2019)"},"properties":{"noteIndex":0},"schema":"https://github.com/citation-style-language/schema/raw/master/csl-citation.json"}</w:instrText>
      </w:r>
      <w:r>
        <w:rPr>
          <w:rFonts w:eastAsia="Times New Roman" w:cs="Times New Roman" w:asciiTheme="majorHAnsi" w:hAnsiTheme="majorHAnsi"/>
          <w:sz w:val="24"/>
          <w:szCs w:val="24"/>
        </w:rPr>
        <w:fldChar w:fldCharType="separate"/>
      </w:r>
      <w:r>
        <w:rPr>
          <w:rFonts w:eastAsia="Times New Roman" w:cs="Times New Roman" w:asciiTheme="majorHAnsi" w:hAnsiTheme="majorHAnsi"/>
          <w:sz w:val="24"/>
          <w:szCs w:val="24"/>
        </w:rPr>
        <w:t>The Last Supper (2019)</w:t>
      </w:r>
      <w:r>
        <w:rPr>
          <w:rFonts w:eastAsia="Times New Roman" w:cs="Times New Roman" w:asciiTheme="majorHAnsi" w:hAnsiTheme="majorHAnsi"/>
          <w:sz w:val="24"/>
          <w:szCs w:val="24"/>
        </w:rPr>
        <w:fldChar w:fldCharType="end"/>
      </w:r>
      <w:r>
        <w:rPr>
          <w:rFonts w:eastAsia="Times New Roman" w:cs="Times New Roman" w:asciiTheme="majorHAnsi" w:hAnsiTheme="majorHAnsi"/>
          <w:sz w:val="24"/>
          <w:szCs w:val="24"/>
        </w:rPr>
        <w:t>, which states that students with moderate abilities with scores below the KKM can write conclusions, but are less able and less accurate in answering them</w:t>
      </w:r>
      <w:bookmarkEnd w:id="8"/>
      <w:r>
        <w:rPr>
          <w:rFonts w:hint="default" w:eastAsia="Times New Roman" w:cs="Times New Roman" w:asciiTheme="majorHAnsi" w:hAnsiTheme="majorHAnsi"/>
          <w:sz w:val="24"/>
          <w:szCs w:val="24"/>
          <w:lang w:val="en-US"/>
        </w:rPr>
        <w:t xml:space="preserve"> </w:t>
      </w:r>
      <w:r>
        <w:rPr>
          <w:rFonts w:ascii="Cambria" w:hAnsi="Cambria" w:eastAsia="Cambria" w:cs="Cambria"/>
          <w:iCs/>
          <w:sz w:val="24"/>
          <w:szCs w:val="24"/>
        </w:rPr>
        <w:t xml:space="preserve">can be seen in </w:t>
      </w:r>
      <w:r>
        <w:rPr>
          <w:rFonts w:hint="default" w:ascii="Cambria" w:hAnsi="Cambria" w:eastAsia="Cambria" w:cs="Cambria"/>
          <w:iCs/>
          <w:sz w:val="24"/>
          <w:szCs w:val="24"/>
          <w:lang w:val="en-US"/>
        </w:rPr>
        <w:t>Figure 7</w:t>
      </w:r>
      <w:r>
        <w:rPr>
          <w:rFonts w:ascii="Cambria" w:hAnsi="Cambria" w:eastAsia="Cambria" w:cs="Cambria"/>
          <w:iCs/>
          <w:sz w:val="24"/>
          <w:szCs w:val="24"/>
        </w:rPr>
        <w:t>. as follows</w:t>
      </w:r>
      <w:r>
        <w:rPr>
          <w:rFonts w:cs="Times New Roman" w:asciiTheme="majorHAnsi" w:hAnsiTheme="majorHAnsi"/>
          <w:sz w:val="24"/>
          <w:szCs w:val="24"/>
        </w:rPr>
        <w:t>.</w:t>
      </w:r>
    </w:p>
    <w:p w14:paraId="300E24B9">
      <w:pPr>
        <w:pStyle w:val="38"/>
        <w:spacing w:after="0" w:line="240" w:lineRule="auto"/>
        <w:ind w:left="360" w:firstLine="360"/>
        <w:jc w:val="both"/>
        <w:rPr>
          <w:rFonts w:cs="Times New Roman" w:asciiTheme="majorHAnsi" w:hAnsiTheme="majorHAnsi"/>
          <w:sz w:val="24"/>
          <w:szCs w:val="24"/>
        </w:rPr>
      </w:pPr>
    </w:p>
    <w:p w14:paraId="1B275EA5">
      <w:pPr>
        <w:pStyle w:val="38"/>
        <w:spacing w:after="0" w:line="240" w:lineRule="auto"/>
        <w:ind w:left="360" w:firstLine="360"/>
        <w:jc w:val="both"/>
        <w:rPr>
          <w:rFonts w:hint="default" w:cs="Times New Roman" w:asciiTheme="majorHAnsi" w:hAnsiTheme="majorHAnsi"/>
          <w:sz w:val="24"/>
          <w:szCs w:val="24"/>
          <w:lang w:val="en-US"/>
        </w:rPr>
      </w:pPr>
    </w:p>
    <w:p w14:paraId="4535AB4A">
      <w:pPr>
        <w:pStyle w:val="38"/>
        <w:spacing w:after="0" w:line="240" w:lineRule="auto"/>
        <w:ind w:left="360" w:firstLine="360"/>
        <w:jc w:val="both"/>
        <w:rPr>
          <w:rFonts w:eastAsia="Times New Roman" w:cs="Times New Roman" w:asciiTheme="majorHAnsi" w:hAnsiTheme="majorHAnsi"/>
          <w:sz w:val="24"/>
          <w:szCs w:val="24"/>
        </w:rPr>
      </w:pPr>
    </w:p>
    <w:p w14:paraId="51067212">
      <w:pPr>
        <w:pStyle w:val="38"/>
        <w:numPr>
          <w:ilvl w:val="0"/>
          <w:numId w:val="1"/>
        </w:numPr>
        <w:spacing w:after="0" w:line="240" w:lineRule="auto"/>
        <w:jc w:val="both"/>
        <w:rPr>
          <w:rFonts w:eastAsia="Times New Roman" w:cs="Times New Roman" w:asciiTheme="majorHAnsi" w:hAnsiTheme="majorHAnsi"/>
          <w:i/>
          <w:iCs/>
          <w:kern w:val="0"/>
          <w:sz w:val="24"/>
          <w:szCs w:val="24"/>
          <w:lang w:eastAsia="id-ID" w:bidi="ar-SA"/>
          <w14:ligatures w14:val="none"/>
        </w:rPr>
      </w:pPr>
      <w:r>
        <w:rPr>
          <w:rFonts w:eastAsia="Times New Roman" w:cs="Times New Roman" w:asciiTheme="majorHAnsi" w:hAnsiTheme="majorHAnsi"/>
          <w:i/>
          <w:iCs/>
          <w:kern w:val="0"/>
          <w:sz w:val="24"/>
          <w:szCs w:val="24"/>
          <w:lang w:eastAsia="id-ID" w:bidi="ar-SA"/>
          <w14:ligatures w14:val="none"/>
        </w:rPr>
        <w:t>Students with Low Mathematical Concept Understanding Ability</w:t>
      </w:r>
    </w:p>
    <w:p w14:paraId="7F52F9D2">
      <w:pPr>
        <w:pStyle w:val="38"/>
        <w:spacing w:after="0" w:line="240" w:lineRule="auto"/>
        <w:ind w:left="360"/>
        <w:jc w:val="both"/>
        <w:rPr>
          <w:rFonts w:eastAsia="Times New Roman" w:cs="Times New Roman" w:asciiTheme="majorHAnsi" w:hAnsiTheme="majorHAnsi"/>
          <w:kern w:val="0"/>
          <w:sz w:val="24"/>
          <w:szCs w:val="24"/>
          <w:lang w:eastAsia="id-ID" w:bidi="ar-SA"/>
          <w14:ligatures w14:val="none"/>
        </w:rPr>
      </w:pPr>
    </w:p>
    <w:p w14:paraId="2D46F2F6">
      <w:pPr>
        <w:spacing w:line="240" w:lineRule="auto"/>
        <w:jc w:val="center"/>
        <w:rPr>
          <w:rFonts w:eastAsia="Times New Roman" w:cs="Times New Roman" w:asciiTheme="majorHAnsi" w:hAnsiTheme="majorHAnsi"/>
          <w:sz w:val="24"/>
          <w:szCs w:val="24"/>
        </w:rPr>
      </w:pPr>
      <w:r>
        <w:drawing>
          <wp:inline distT="0" distB="0" distL="0" distR="0">
            <wp:extent cx="1668780" cy="335280"/>
            <wp:effectExtent l="0" t="0" r="0" b="7620"/>
            <wp:docPr id="494086859"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86859" name="Gambar 7"/>
                    <pic:cNvPicPr>
                      <a:picLocks noChangeAspect="1" noChangeArrowheads="1"/>
                    </pic:cNvPicPr>
                  </pic:nvPicPr>
                  <pic:blipFill>
                    <a:blip r:embed="rId17" cstate="print">
                      <a:biLevel thresh="75000"/>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t="12578" r="14138" b="11178"/>
                    <a:stretch>
                      <a:fillRect/>
                    </a:stretch>
                  </pic:blipFill>
                  <pic:spPr>
                    <a:xfrm>
                      <a:off x="0" y="0"/>
                      <a:ext cx="1754385" cy="352971"/>
                    </a:xfrm>
                    <a:prstGeom prst="rect">
                      <a:avLst/>
                    </a:prstGeom>
                    <a:noFill/>
                    <a:ln>
                      <a:noFill/>
                    </a:ln>
                  </pic:spPr>
                </pic:pic>
              </a:graphicData>
            </a:graphic>
          </wp:inline>
        </w:drawing>
      </w:r>
    </w:p>
    <w:p w14:paraId="15E3A302">
      <w:pPr>
        <w:spacing w:line="240" w:lineRule="auto"/>
        <w:jc w:val="center"/>
        <w:rPr>
          <w:rFonts w:eastAsia="Times New Roman" w:cs="Times New Roman" w:asciiTheme="majorHAnsi" w:hAnsiTheme="majorHAnsi"/>
          <w:sz w:val="24"/>
          <w:szCs w:val="24"/>
        </w:rPr>
      </w:pPr>
      <w:r>
        <w:rPr>
          <w:rFonts w:eastAsia="Times New Roman" w:cs="Times New Roman" w:asciiTheme="majorHAnsi" w:hAnsiTheme="majorHAnsi"/>
          <w:sz w:val="24"/>
          <w:szCs w:val="24"/>
        </w:rPr>
        <w:t>Figure 7. Answer to Question Number 1 for Low Category Students</w:t>
      </w:r>
    </w:p>
    <w:p w14:paraId="58F13CD2">
      <w:pPr>
        <w:pStyle w:val="38"/>
        <w:spacing w:after="0" w:line="240" w:lineRule="auto"/>
        <w:ind w:left="360" w:firstLine="360"/>
        <w:jc w:val="both"/>
        <w:rPr>
          <w:rFonts w:eastAsia="Times New Roman" w:cs="Times New Roman" w:asciiTheme="majorHAnsi" w:hAnsiTheme="majorHAnsi"/>
          <w:kern w:val="0"/>
          <w:sz w:val="24"/>
          <w:szCs w:val="24"/>
          <w:lang w:eastAsia="id-ID" w:bidi="ar-SA"/>
          <w14:ligatures w14:val="none"/>
        </w:rPr>
      </w:pPr>
      <w:r>
        <w:rPr>
          <w:rFonts w:eastAsia="Times New Roman" w:cs="Times New Roman" w:asciiTheme="majorHAnsi" w:hAnsiTheme="majorHAnsi"/>
          <w:kern w:val="0"/>
          <w:sz w:val="24"/>
          <w:szCs w:val="24"/>
          <w:lang w:eastAsia="id-ID" w:bidi="ar-SA"/>
          <w14:ligatures w14:val="none"/>
        </w:rPr>
        <w:t>Figure 7 shows that students have not been able to change information from story problems into the correct mathematical equation. Students seem to have difficulty understanding the relationship between the temperature inside the house and the temperature outside the house which is stated as 27°C lower. This error shows that students have not been able to model real situations into mathematical symbols. In line with the results of Surbakti's research (2024) which stated that students' difficulties in understanding story problems are due to students' lack of ability in using mathematical concepts and students' lack of ability in changing story problems into mathematical sentences</w:t>
      </w:r>
      <w:bookmarkStart w:id="9" w:name="_Hlk192414940"/>
      <w:bookmarkEnd w:id="9"/>
      <w:r>
        <w:rPr>
          <w:rFonts w:hint="default" w:eastAsia="Times New Roman" w:cs="Times New Roman" w:asciiTheme="majorHAnsi" w:hAnsiTheme="majorHAnsi"/>
          <w:kern w:val="0"/>
          <w:sz w:val="24"/>
          <w:szCs w:val="24"/>
          <w:lang w:val="en-US" w:eastAsia="id-ID" w:bidi="ar-SA"/>
          <w14:ligatures w14:val="none"/>
        </w:rPr>
        <w:t xml:space="preserve"> </w:t>
      </w:r>
      <w:r>
        <w:rPr>
          <w:rFonts w:ascii="Cambria" w:hAnsi="Cambria" w:eastAsia="Cambria" w:cs="Cambria"/>
          <w:iCs/>
          <w:sz w:val="24"/>
          <w:szCs w:val="24"/>
        </w:rPr>
        <w:t xml:space="preserve">can be seen in </w:t>
      </w:r>
      <w:r>
        <w:rPr>
          <w:rFonts w:hint="default" w:ascii="Cambria" w:hAnsi="Cambria" w:eastAsia="Cambria" w:cs="Cambria"/>
          <w:iCs/>
          <w:sz w:val="24"/>
          <w:szCs w:val="24"/>
          <w:lang w:val="en-US"/>
        </w:rPr>
        <w:t>Figure 8</w:t>
      </w:r>
      <w:r>
        <w:rPr>
          <w:rFonts w:ascii="Cambria" w:hAnsi="Cambria" w:eastAsia="Cambria" w:cs="Cambria"/>
          <w:iCs/>
          <w:sz w:val="24"/>
          <w:szCs w:val="24"/>
        </w:rPr>
        <w:t>. as follows</w:t>
      </w:r>
      <w:r>
        <w:rPr>
          <w:rFonts w:cs="Times New Roman" w:asciiTheme="majorHAnsi" w:hAnsiTheme="majorHAnsi"/>
          <w:sz w:val="24"/>
          <w:szCs w:val="24"/>
        </w:rPr>
        <w:t>.</w:t>
      </w:r>
    </w:p>
    <w:p w14:paraId="39B72DDD">
      <w:pPr>
        <w:pStyle w:val="38"/>
        <w:spacing w:after="0" w:line="240" w:lineRule="auto"/>
        <w:ind w:left="360" w:firstLine="360"/>
        <w:jc w:val="both"/>
        <w:rPr>
          <w:rFonts w:eastAsia="Times New Roman" w:cs="Times New Roman" w:asciiTheme="majorHAnsi" w:hAnsiTheme="majorHAnsi"/>
          <w:kern w:val="0"/>
          <w:sz w:val="24"/>
          <w:szCs w:val="24"/>
          <w:lang w:eastAsia="id-ID" w:bidi="ar-SA"/>
          <w14:ligatures w14:val="none"/>
        </w:rPr>
      </w:pPr>
    </w:p>
    <w:p w14:paraId="43674E80">
      <w:pPr>
        <w:spacing w:line="240" w:lineRule="auto"/>
        <w:jc w:val="center"/>
        <w:rPr>
          <w:rFonts w:eastAsia="Times New Roman" w:cs="Times New Roman" w:asciiTheme="majorHAnsi" w:hAnsiTheme="majorHAnsi"/>
          <w:b/>
          <w:bCs/>
          <w:sz w:val="24"/>
          <w:szCs w:val="24"/>
        </w:rPr>
      </w:pPr>
      <w:r>
        <w:rPr>
          <w:rFonts w:asciiTheme="majorHAnsi" w:hAnsiTheme="majorHAnsi"/>
          <w:sz w:val="24"/>
          <w:szCs w:val="24"/>
        </w:rPr>
        <w:drawing>
          <wp:inline distT="0" distB="0" distL="0" distR="0">
            <wp:extent cx="391160" cy="957580"/>
            <wp:effectExtent l="2540" t="0" r="0" b="0"/>
            <wp:docPr id="175449161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91617" name="Gambar 3"/>
                    <pic:cNvPicPr>
                      <a:picLocks noChangeAspect="1" noChangeArrowheads="1"/>
                    </pic:cNvPicPr>
                  </pic:nvPicPr>
                  <pic:blipFill>
                    <a:blip r:embed="rId19" cstate="print">
                      <a:biLevel thresh="75000"/>
                      <a:extLst>
                        <a:ext uri="{BEBA8EAE-BF5A-486C-A8C5-ECC9F3942E4B}">
                          <a14:imgProps xmlns:a14="http://schemas.microsoft.com/office/drawing/2010/main">
                            <a14:imgLayer r:embed="rId20">
                              <a14:imgEffect>
                                <a14:brightnessContrast bright="40000" contrast="-20000"/>
                              </a14:imgEffect>
                              <a14:imgEffect>
                                <a14:saturation sat="33000"/>
                              </a14:imgEffect>
                            </a14:imgLayer>
                          </a14:imgProps>
                        </a:ext>
                        <a:ext uri="{28A0092B-C50C-407E-A947-70E740481C1C}">
                          <a14:useLocalDpi xmlns:a14="http://schemas.microsoft.com/office/drawing/2010/main" val="0"/>
                        </a:ext>
                      </a:extLst>
                    </a:blip>
                    <a:srcRect l="47249" t="1459" r="45905" b="85973"/>
                    <a:stretch>
                      <a:fillRect/>
                    </a:stretch>
                  </pic:blipFill>
                  <pic:spPr>
                    <a:xfrm rot="16200000">
                      <a:off x="0" y="0"/>
                      <a:ext cx="392360" cy="960566"/>
                    </a:xfrm>
                    <a:prstGeom prst="rect">
                      <a:avLst/>
                    </a:prstGeom>
                    <a:noFill/>
                    <a:ln>
                      <a:noFill/>
                    </a:ln>
                  </pic:spPr>
                </pic:pic>
              </a:graphicData>
            </a:graphic>
          </wp:inline>
        </w:drawing>
      </w:r>
    </w:p>
    <w:p w14:paraId="6D3B6ED2">
      <w:pPr>
        <w:spacing w:line="240" w:lineRule="auto"/>
        <w:jc w:val="center"/>
        <w:rPr>
          <w:rFonts w:eastAsia="Times New Roman" w:cs="Times New Roman" w:asciiTheme="majorHAnsi" w:hAnsiTheme="majorHAnsi"/>
          <w:sz w:val="24"/>
          <w:szCs w:val="24"/>
        </w:rPr>
      </w:pPr>
      <w:r>
        <w:rPr>
          <w:rFonts w:eastAsia="Times New Roman" w:cs="Times New Roman" w:asciiTheme="majorHAnsi" w:hAnsiTheme="majorHAnsi"/>
          <w:sz w:val="24"/>
          <w:szCs w:val="24"/>
        </w:rPr>
        <w:t>Figure 8. Answer to Question Number 2 for Low Category Students</w:t>
      </w:r>
    </w:p>
    <w:p w14:paraId="1C1764D4">
      <w:pPr>
        <w:pStyle w:val="38"/>
        <w:spacing w:after="0" w:line="240" w:lineRule="auto"/>
        <w:ind w:left="360" w:firstLine="360"/>
        <w:jc w:val="both"/>
        <w:rPr>
          <w:rFonts w:hint="default" w:eastAsia="Times New Roman" w:cs="Times New Roman" w:asciiTheme="majorHAnsi" w:hAnsiTheme="majorHAnsi"/>
          <w:kern w:val="0"/>
          <w:sz w:val="24"/>
          <w:szCs w:val="24"/>
          <w:lang w:val="en-US" w:eastAsia="id-ID" w:bidi="ar-SA"/>
          <w14:ligatures w14:val="none"/>
        </w:rPr>
      </w:pPr>
      <w:r>
        <w:rPr>
          <w:rFonts w:eastAsia="Times New Roman" w:cs="Times New Roman" w:asciiTheme="majorHAnsi" w:hAnsiTheme="majorHAnsi"/>
          <w:kern w:val="0"/>
          <w:sz w:val="24"/>
          <w:szCs w:val="24"/>
          <w:lang w:eastAsia="id-ID" w:bidi="ar-SA"/>
          <w14:ligatures w14:val="none"/>
        </w:rPr>
        <w:t>Figure 8 shows that students do not yet understand the relationship between numbers and are less careful in determining the results of operations, which then has an impact on the process of solving them. In line with research</w:t>
      </w:r>
      <w:bookmarkStart w:id="10" w:name="_Hlk192414953"/>
      <w:bookmarkEnd w:id="10"/>
      <w:r>
        <w:rPr>
          <w:rFonts w:hint="default" w:eastAsia="Times New Roman" w:cs="Times New Roman" w:asciiTheme="majorHAnsi" w:hAnsiTheme="majorHAnsi"/>
          <w:kern w:val="0"/>
          <w:sz w:val="24"/>
          <w:szCs w:val="24"/>
          <w:lang w:val="en-US" w:eastAsia="id-ID" w:bidi="ar-SA"/>
          <w14:ligatures w14:val="none"/>
        </w:rPr>
        <w:t xml:space="preserve"> </w:t>
      </w:r>
      <w:r>
        <w:rPr>
          <w:rFonts w:eastAsia="Times New Roman" w:cs="Times New Roman" w:asciiTheme="majorHAnsi" w:hAnsiTheme="majorHAnsi"/>
          <w:kern w:val="0"/>
          <w:sz w:val="24"/>
          <w:szCs w:val="24"/>
          <w:lang w:eastAsia="id-ID" w:bidi="ar-SA"/>
          <w14:ligatures w14:val="none"/>
        </w:rPr>
        <w:fldChar w:fldCharType="begin" w:fldLock="1"/>
      </w:r>
      <w:r>
        <w:rPr>
          <w:rFonts w:eastAsia="Times New Roman" w:cs="Times New Roman" w:asciiTheme="majorHAnsi" w:hAnsiTheme="majorHAnsi"/>
          <w:kern w:val="0"/>
          <w:sz w:val="24"/>
          <w:szCs w:val="24"/>
          <w:lang w:eastAsia="id-ID" w:bidi="ar-SA"/>
          <w14:ligatures w14:val="none"/>
        </w:rPr>
        <w:instrText xml:space="preserve">ADDIN CSL_CITATION {"citationItems":[{"id":"ITEM-1","itemData":{"author":[{"dropping-particle":"","family":"Halawa","given":"N","non-dropping-particle":"","parse-names":false,"suffix":""},{"dropping-particle":"","family":"Telaumbanua","given":"Y N","non-dropping-particle":"","parse-names":false,"suffix":""},{"dropping-particle":"","family":"Zega","given":"Y","non-dropping-particle":"","parse-names":false,"suffix":""},{"dropping-particle":"","family":"Mendrofa","given":"R N","non-dropping-particle":"","parse-names":false,"suffix":""}],"container-title":"Jurnal Suluh Pendidikan","id":"ITEM-1","issue":"1","issued":{"date-parts":[["2024"]]},"page":"51-63","title":"Kesalahan Peserta Didik dalam Mengerjakan Soal Matematika Berdasarkan Metode Newman","type":"article-journal","volume":"12"},"uris":["http://www.mendeley.com/documents/?uuid=620b35b2-a6d1-44ba-9b3a-1e32a987ec8f"]}],"mendeley":{"formattedCitation":"(Halawa et al., 2024)","manualFormatting":"Halawa et al., (2024)","plainTextFormattedCitation":"(Halawa et al., 2024)","previouslyFormattedCitation":"(Halawa et al., 2024)"},"properties":{"noteIndex":0},"schema":"https://github.com/citation-style-language/schema/raw/master/csl-citation.json"}</w:instrText>
      </w:r>
      <w:r>
        <w:rPr>
          <w:rFonts w:eastAsia="Times New Roman" w:cs="Times New Roman" w:asciiTheme="majorHAnsi" w:hAnsiTheme="majorHAnsi"/>
          <w:kern w:val="0"/>
          <w:sz w:val="24"/>
          <w:szCs w:val="24"/>
          <w:lang w:eastAsia="id-ID" w:bidi="ar-SA"/>
          <w14:ligatures w14:val="none"/>
        </w:rPr>
        <w:fldChar w:fldCharType="separate"/>
      </w:r>
      <w:r>
        <w:rPr>
          <w:rFonts w:eastAsia="Times New Roman" w:cs="Times New Roman" w:asciiTheme="majorHAnsi" w:hAnsiTheme="majorHAnsi"/>
          <w:kern w:val="0"/>
          <w:sz w:val="24"/>
          <w:szCs w:val="24"/>
          <w:lang w:eastAsia="id-ID" w:bidi="ar-SA"/>
          <w14:ligatures w14:val="none"/>
        </w:rPr>
        <w:t>Halawa et al., (2024)</w:t>
      </w:r>
      <w:r>
        <w:rPr>
          <w:rFonts w:eastAsia="Times New Roman" w:cs="Times New Roman" w:asciiTheme="majorHAnsi" w:hAnsiTheme="majorHAnsi"/>
          <w:kern w:val="0"/>
          <w:sz w:val="24"/>
          <w:szCs w:val="24"/>
          <w:lang w:eastAsia="id-ID" w:bidi="ar-SA"/>
          <w14:ligatures w14:val="none"/>
        </w:rPr>
        <w:fldChar w:fldCharType="end"/>
      </w:r>
      <w:r>
        <w:rPr>
          <w:rFonts w:hint="default" w:eastAsia="Times New Roman" w:cs="Times New Roman" w:asciiTheme="majorHAnsi" w:hAnsiTheme="majorHAnsi"/>
          <w:kern w:val="0"/>
          <w:sz w:val="24"/>
          <w:szCs w:val="24"/>
          <w:lang w:val="en-US" w:eastAsia="id-ID" w:bidi="ar-SA"/>
          <w14:ligatures w14:val="none"/>
        </w:rPr>
        <w:t xml:space="preserve"> </w:t>
      </w:r>
      <w:r>
        <w:rPr>
          <w:rFonts w:eastAsia="Times New Roman" w:cs="Times New Roman" w:asciiTheme="majorHAnsi" w:hAnsiTheme="majorHAnsi"/>
          <w:kern w:val="0"/>
          <w:sz w:val="24"/>
          <w:szCs w:val="24"/>
          <w:lang w:eastAsia="id-ID" w:bidi="ar-SA"/>
          <w14:ligatures w14:val="none"/>
        </w:rPr>
        <w:t>that students experience conceptual, principle and operational errors so that these students are in the low category</w:t>
      </w:r>
      <w:r>
        <w:rPr>
          <w:rFonts w:hint="default" w:eastAsia="Times New Roman" w:cs="Times New Roman" w:asciiTheme="majorHAnsi" w:hAnsiTheme="majorHAnsi"/>
          <w:kern w:val="0"/>
          <w:sz w:val="24"/>
          <w:szCs w:val="24"/>
          <w:lang w:val="en-US" w:eastAsia="id-ID" w:bidi="ar-SA"/>
          <w14:ligatures w14:val="none"/>
        </w:rPr>
        <w:t xml:space="preserve"> </w:t>
      </w:r>
      <w:r>
        <w:rPr>
          <w:rFonts w:ascii="Cambria" w:hAnsi="Cambria" w:eastAsia="Cambria" w:cs="Cambria"/>
          <w:iCs/>
          <w:sz w:val="24"/>
          <w:szCs w:val="24"/>
        </w:rPr>
        <w:t xml:space="preserve">can be seen in </w:t>
      </w:r>
      <w:r>
        <w:rPr>
          <w:rFonts w:hint="default" w:ascii="Cambria" w:hAnsi="Cambria" w:eastAsia="Cambria" w:cs="Cambria"/>
          <w:iCs/>
          <w:sz w:val="24"/>
          <w:szCs w:val="24"/>
          <w:lang w:val="en-US"/>
        </w:rPr>
        <w:t>Figure 9</w:t>
      </w:r>
      <w:r>
        <w:rPr>
          <w:rFonts w:ascii="Cambria" w:hAnsi="Cambria" w:eastAsia="Cambria" w:cs="Cambria"/>
          <w:iCs/>
          <w:sz w:val="24"/>
          <w:szCs w:val="24"/>
        </w:rPr>
        <w:t>. as follows</w:t>
      </w:r>
      <w:r>
        <w:rPr>
          <w:rFonts w:cs="Times New Roman" w:asciiTheme="majorHAnsi" w:hAnsiTheme="majorHAnsi"/>
          <w:sz w:val="24"/>
          <w:szCs w:val="24"/>
        </w:rPr>
        <w:t>.</w:t>
      </w:r>
    </w:p>
    <w:p w14:paraId="0559B7A7">
      <w:pPr>
        <w:spacing w:line="240" w:lineRule="auto"/>
        <w:jc w:val="center"/>
        <w:rPr>
          <w:rFonts w:eastAsia="Times New Roman" w:cs="Times New Roman" w:asciiTheme="majorHAnsi" w:hAnsiTheme="majorHAnsi"/>
          <w:sz w:val="24"/>
          <w:szCs w:val="24"/>
        </w:rPr>
      </w:pPr>
      <w:r>
        <w:rPr>
          <w:rFonts w:asciiTheme="majorHAnsi" w:hAnsiTheme="majorHAnsi"/>
          <w:sz w:val="24"/>
          <w:szCs w:val="24"/>
        </w:rPr>
        <w:drawing>
          <wp:inline distT="0" distB="0" distL="0" distR="0">
            <wp:extent cx="1783080" cy="453390"/>
            <wp:effectExtent l="0" t="0" r="7620" b="3810"/>
            <wp:docPr id="142702773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27734" name="Gambar 4"/>
                    <pic:cNvPicPr>
                      <a:picLocks noChangeAspect="1" noChangeArrowheads="1"/>
                    </pic:cNvPicPr>
                  </pic:nvPicPr>
                  <pic:blipFill>
                    <a:blip r:embed="rId21" cstate="print">
                      <a:biLevel thresh="75000"/>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l="8367" t="28321" r="12125" b="19124"/>
                    <a:stretch>
                      <a:fillRect/>
                    </a:stretch>
                  </pic:blipFill>
                  <pic:spPr>
                    <a:xfrm>
                      <a:off x="0" y="0"/>
                      <a:ext cx="1800259" cy="457879"/>
                    </a:xfrm>
                    <a:prstGeom prst="rect">
                      <a:avLst/>
                    </a:prstGeom>
                    <a:noFill/>
                    <a:ln>
                      <a:noFill/>
                    </a:ln>
                  </pic:spPr>
                </pic:pic>
              </a:graphicData>
            </a:graphic>
          </wp:inline>
        </w:drawing>
      </w:r>
    </w:p>
    <w:p w14:paraId="5DE73DAF">
      <w:pPr>
        <w:spacing w:line="240" w:lineRule="auto"/>
        <w:jc w:val="center"/>
        <w:rPr>
          <w:rFonts w:eastAsia="Times New Roman" w:cs="Times New Roman" w:asciiTheme="majorHAnsi" w:hAnsiTheme="majorHAnsi"/>
          <w:sz w:val="24"/>
          <w:szCs w:val="24"/>
        </w:rPr>
      </w:pPr>
      <w:r>
        <w:rPr>
          <w:rFonts w:eastAsia="Times New Roman" w:cs="Times New Roman" w:asciiTheme="majorHAnsi" w:hAnsiTheme="majorHAnsi"/>
          <w:sz w:val="24"/>
          <w:szCs w:val="24"/>
        </w:rPr>
        <w:t>Figure 9. Answer to Question Number 3 for Low Category Students</w:t>
      </w:r>
    </w:p>
    <w:p w14:paraId="0B364F60">
      <w:pPr>
        <w:pStyle w:val="38"/>
        <w:spacing w:after="0" w:line="240" w:lineRule="auto"/>
        <w:ind w:left="360" w:firstLine="360"/>
        <w:jc w:val="both"/>
        <w:rPr>
          <w:rFonts w:eastAsia="Times New Roman" w:asciiTheme="majorHAnsi" w:hAnsiTheme="majorHAnsi"/>
          <w:sz w:val="24"/>
          <w:szCs w:val="24"/>
        </w:rPr>
      </w:pPr>
      <w:r>
        <w:rPr>
          <w:rFonts w:eastAsia="Times New Roman" w:cs="Times New Roman" w:asciiTheme="majorHAnsi" w:hAnsiTheme="majorHAnsi"/>
          <w:kern w:val="0"/>
          <w:sz w:val="24"/>
          <w:szCs w:val="24"/>
          <w:lang w:eastAsia="id-ID" w:bidi="ar-SA"/>
          <w14:ligatures w14:val="none"/>
        </w:rPr>
        <w:t>Figure 9</w:t>
      </w:r>
      <w:r>
        <w:rPr>
          <w:rFonts w:eastAsia="Times New Roman" w:asciiTheme="majorHAnsi" w:hAnsiTheme="majorHAnsi"/>
          <w:sz w:val="24"/>
          <w:szCs w:val="24"/>
        </w:rPr>
        <w:t>shows that students in the low category have not been able to draw conclusions correctly according to the context of the questions given. This shows that students have difficulty in understanding the concepts used in the questions, especially in interpreting data and existing relationships. One possible cause of this difficulty is a lack of understanding in the previous stages of the learning process, so that students have difficulty in connecting the information provided with concepts that have been previously learned. In line with research</w:t>
      </w:r>
      <w:bookmarkStart w:id="11" w:name="_Hlk192414962"/>
      <w:r>
        <w:rPr>
          <w:rFonts w:eastAsia="Times New Roman" w:asciiTheme="majorHAnsi" w:hAnsiTheme="majorHAnsi"/>
          <w:sz w:val="24"/>
          <w:szCs w:val="24"/>
        </w:rPr>
        <w:fldChar w:fldCharType="begin" w:fldLock="1"/>
      </w:r>
      <w:r>
        <w:rPr>
          <w:rFonts w:eastAsia="Times New Roman" w:asciiTheme="majorHAnsi" w:hAnsiTheme="majorHAnsi"/>
          <w:sz w:val="24"/>
          <w:szCs w:val="24"/>
        </w:rPr>
        <w:instrText xml:space="preserve">ADDIN CSL_CITATION {"citationItems":[{"id":"ITEM-1","itemData":{"DOI":"10.35706/rjrrme.v3i1.12075","abstract":"Penelitian ini bertujuan untuk menganalisis kemampuan pemahaman konsep matematis siswa kelas VII pada materi bentuk aljabar. Subjek penelitian sebanyak 26 siswa yang diambil secara purposive pada satu SMP Negeri di Kabupaten Kuningan, Provinsi Jawa Barat. Studi kasus digunakan dalam penelitian ini, dengan kasus tunggal dan analisis tunggal. Rendahnya kemampuan pemahaman konsep matematis siswa kelas VII sebagai fokus kasus untuk di analisis, dengan analisis kasus didasarkan pemahaman konsep matematis dalam materi bentuk aljabar. Instrumen tes digunakan dalam penelitian ini, sebanyak 8 soal uraian dan 1 pilihan ganda untuk mengukur kemampuan numerasi siswa. Hasil penelitian menyimpulkan bahwa pemahaman konsep matematis masih sangat rendah, yaitu: hampir semua siswa dapat menyatakan ulang sebuah konsep bentuk aljabar. Namun, sebagian siswa kurang paham dalam mengklasifikasikan objek menurut sifat – sifatnya, menyajikan konsep dalam bentuk representasi matematis, dan mengaplikasikan konsep dalam pemecahan masalah.","author":[{"dropping-particle":"","family":"Kartika","given":"Yuni","non-dropping-particle":"","parse-names":false,"suffix":""}],"container-title":"Jurnal Pendidikan Tambusai","id":"ITEM-1","issue":"1","issued":{"date-parts":[["2018"]]},"page":"6-11","title":"Analisis Kemampuan Pemahaman Konsep Matematis Siswa Kelas VII Pada Materi Bentuk Aljabar","type":"article-journal","volume":"3"},"uris":["http://www.mendeley.com/documents/?uuid=d9e42057-e525-4d18-b501-a5b4acd5c5d2"]}],"mendeley":{"formattedCitation":"(Kartika, 2018)","manualFormatting":"Kartika (2018)","plainTextFormattedCitation":"(Kartika, 2018)","previouslyFormattedCitation":"(Kartika, 2018)"},"properties":{"noteIndex":0},"schema":"https://github.com/citation-style-language/schema/raw/master/csl-citation.json"}</w:instrText>
      </w:r>
      <w:r>
        <w:rPr>
          <w:rFonts w:eastAsia="Times New Roman" w:asciiTheme="majorHAnsi" w:hAnsiTheme="majorHAnsi"/>
          <w:sz w:val="24"/>
          <w:szCs w:val="24"/>
        </w:rPr>
        <w:fldChar w:fldCharType="separate"/>
      </w:r>
      <w:r>
        <w:rPr>
          <w:rFonts w:eastAsia="Times New Roman" w:asciiTheme="majorHAnsi" w:hAnsiTheme="majorHAnsi"/>
          <w:sz w:val="24"/>
          <w:szCs w:val="24"/>
        </w:rPr>
        <w:t>The Last Supper (2018)</w:t>
      </w:r>
      <w:r>
        <w:rPr>
          <w:rFonts w:eastAsia="Times New Roman" w:asciiTheme="majorHAnsi" w:hAnsiTheme="majorHAnsi"/>
          <w:sz w:val="24"/>
          <w:szCs w:val="24"/>
        </w:rPr>
        <w:fldChar w:fldCharType="end"/>
      </w:r>
      <w:r>
        <w:rPr>
          <w:rFonts w:eastAsia="Times New Roman" w:asciiTheme="majorHAnsi" w:hAnsiTheme="majorHAnsi"/>
          <w:sz w:val="24"/>
          <w:szCs w:val="24"/>
        </w:rPr>
        <w:t>, students who have poor understanding in the previous stages tend to have difficulty in drawing correct and logical conclusions in solving a mathematical problem.</w:t>
      </w:r>
      <w:bookmarkEnd w:id="11"/>
    </w:p>
    <w:p w14:paraId="3D8FBF76">
      <w:pPr>
        <w:pStyle w:val="38"/>
        <w:spacing w:after="0" w:line="240" w:lineRule="auto"/>
        <w:ind w:left="360" w:firstLine="360"/>
        <w:jc w:val="both"/>
        <w:rPr>
          <w:rFonts w:eastAsia="Cambria" w:cs="Cambria" w:asciiTheme="majorHAnsi" w:hAnsiTheme="majorHAnsi"/>
          <w:b/>
          <w:sz w:val="24"/>
          <w:szCs w:val="24"/>
        </w:rPr>
      </w:pPr>
    </w:p>
    <w:p w14:paraId="4EB0E470">
      <w:pPr>
        <w:spacing w:after="0" w:line="240" w:lineRule="auto"/>
        <w:rPr>
          <w:rFonts w:ascii="Cambria" w:hAnsi="Cambria" w:eastAsia="Cambria" w:cs="Cambria"/>
          <w:b/>
          <w:sz w:val="24"/>
          <w:szCs w:val="24"/>
        </w:rPr>
      </w:pPr>
      <w:r>
        <w:rPr>
          <w:rFonts w:ascii="Cambria" w:hAnsi="Cambria" w:eastAsia="Cambria" w:cs="Cambria"/>
          <w:b/>
          <w:sz w:val="24"/>
          <w:szCs w:val="24"/>
        </w:rPr>
        <w:t>Conclusion and Suggestions</w:t>
      </w:r>
    </w:p>
    <w:p w14:paraId="73387CF8">
      <w:pPr>
        <w:spacing w:after="0" w:line="240" w:lineRule="auto"/>
        <w:ind w:firstLine="720"/>
        <w:jc w:val="both"/>
        <w:rPr>
          <w:rFonts w:asciiTheme="majorHAnsi" w:hAnsiTheme="majorHAnsi"/>
          <w:sz w:val="24"/>
          <w:szCs w:val="24"/>
        </w:rPr>
      </w:pPr>
      <w:r>
        <w:rPr>
          <w:rFonts w:asciiTheme="majorHAnsi" w:hAnsiTheme="majorHAnsi"/>
          <w:sz w:val="24"/>
          <w:szCs w:val="24"/>
        </w:rPr>
        <w:t>Based on the results of the analysis of grade VII students' scores at one of the SMPN in Karawang Regency, it was found that students with above average scores had high mathematical concept understanding abilities and met three indicators of understanding, namely translation, interpretation, and extrapolation. Students with average scores had moderate mathematical concept understanding abilities and generally only met one indicator, namely translation. While students with below average scores had low mathematical concept understanding abilities and did not meet the concept understanding indicators.</w:t>
      </w:r>
    </w:p>
    <w:p w14:paraId="591F1F97">
      <w:pPr>
        <w:spacing w:after="0" w:line="240" w:lineRule="auto"/>
        <w:ind w:firstLine="720"/>
        <w:jc w:val="both"/>
        <w:rPr>
          <w:rFonts w:cs="Times New Roman" w:asciiTheme="majorHAnsi" w:hAnsiTheme="majorHAnsi"/>
          <w:sz w:val="24"/>
          <w:szCs w:val="24"/>
        </w:rPr>
      </w:pPr>
      <w:r>
        <w:rPr>
          <w:rFonts w:cs="Times New Roman" w:asciiTheme="majorHAnsi" w:hAnsiTheme="majorHAnsi"/>
          <w:sz w:val="24"/>
          <w:szCs w:val="24"/>
        </w:rPr>
        <w:t>To improve students' mathematical concept understanding ability, especially for those who are below average, it is recommended that there be learning interventions that focus more on problem-based approaches and the use of teaching aids to help concretely understand concepts. In addition, more comprehensive formative evaluations need to be implemented to measure not only translation but also interpretation and extrapolation. Further research can be conducted to identify other factors that influence students' low mathematical concept understanding ability and develop more effective intervention strategies.</w:t>
      </w:r>
    </w:p>
    <w:p w14:paraId="1B1D2DD0">
      <w:pPr>
        <w:spacing w:after="0" w:line="240" w:lineRule="auto"/>
        <w:ind w:firstLine="720"/>
        <w:jc w:val="both"/>
        <w:rPr>
          <w:rFonts w:cs="Times New Roman" w:asciiTheme="majorHAnsi" w:hAnsiTheme="majorHAnsi"/>
          <w:sz w:val="24"/>
          <w:szCs w:val="24"/>
        </w:rPr>
      </w:pPr>
    </w:p>
    <w:p w14:paraId="1A0BDA78">
      <w:pPr>
        <w:spacing w:after="0" w:line="240" w:lineRule="auto"/>
        <w:jc w:val="both"/>
        <w:rPr>
          <w:rFonts w:ascii="Cambria" w:hAnsi="Cambria" w:eastAsia="Cambria" w:cs="Cambria"/>
          <w:b/>
          <w:sz w:val="12"/>
          <w:szCs w:val="12"/>
        </w:rPr>
      </w:pPr>
    </w:p>
    <w:p w14:paraId="53C8F5AD">
      <w:pPr>
        <w:widowControl w:val="0"/>
        <w:spacing w:after="0" w:line="240" w:lineRule="auto"/>
        <w:ind w:left="480" w:hanging="480"/>
        <w:jc w:val="both"/>
        <w:rPr>
          <w:rFonts w:ascii="Cambria" w:hAnsi="Cambria" w:eastAsia="Cambria" w:cs="Cambria"/>
          <w:b/>
          <w:color w:val="000000"/>
          <w:sz w:val="24"/>
          <w:szCs w:val="24"/>
        </w:rPr>
      </w:pPr>
      <w:r>
        <w:rPr>
          <w:rFonts w:ascii="Cambria" w:hAnsi="Cambria" w:eastAsia="Cambria" w:cs="Cambria"/>
          <w:b/>
          <w:color w:val="000000"/>
          <w:sz w:val="24"/>
          <w:szCs w:val="24"/>
        </w:rPr>
        <w:t>Reference</w:t>
      </w:r>
    </w:p>
    <w:p w14:paraId="5F85BDA5">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eastAsia="Cambria" w:cs="Cambria"/>
          <w:sz w:val="24"/>
          <w:szCs w:val="24"/>
        </w:rPr>
        <w:fldChar w:fldCharType="begin" w:fldLock="1"/>
      </w:r>
      <w:r>
        <w:rPr>
          <w:rFonts w:ascii="Cambria" w:hAnsi="Cambria" w:eastAsia="Cambria" w:cs="Cambria"/>
          <w:sz w:val="24"/>
          <w:szCs w:val="24"/>
        </w:rPr>
        <w:instrText xml:space="preserve">ADDIN Mendeley Bibliography CSL_BIBLIOGRAPHY </w:instrText>
      </w:r>
      <w:r>
        <w:rPr>
          <w:rFonts w:ascii="Cambria" w:hAnsi="Cambria" w:eastAsia="Cambria" w:cs="Cambria"/>
          <w:sz w:val="24"/>
          <w:szCs w:val="24"/>
        </w:rPr>
        <w:fldChar w:fldCharType="separate"/>
      </w:r>
      <w:r>
        <w:rPr>
          <w:rFonts w:ascii="Cambria" w:hAnsi="Cambria" w:cs="Times New Roman"/>
          <w:sz w:val="24"/>
          <w:szCs w:val="24"/>
        </w:rPr>
        <w:t>Arumsari, W</w:t>
      </w:r>
      <w:r>
        <w:rPr>
          <w:rFonts w:hint="default" w:ascii="Cambria" w:hAnsi="Cambria" w:cs="Times New Roman"/>
          <w:sz w:val="24"/>
          <w:szCs w:val="24"/>
          <w:lang w:val="en-US"/>
        </w:rPr>
        <w:t xml:space="preserve">. </w:t>
      </w:r>
      <w:r>
        <w:rPr>
          <w:rFonts w:ascii="Cambria" w:hAnsi="Cambria" w:cs="Times New Roman"/>
          <w:sz w:val="24"/>
          <w:szCs w:val="24"/>
        </w:rPr>
        <w:t>P</w:t>
      </w:r>
      <w:r>
        <w:rPr>
          <w:rFonts w:hint="default" w:ascii="Cambria" w:hAnsi="Cambria" w:cs="Times New Roman"/>
          <w:sz w:val="24"/>
          <w:szCs w:val="24"/>
          <w:lang w:val="en-US"/>
        </w:rPr>
        <w:t xml:space="preserve">. </w:t>
      </w:r>
      <w:r>
        <w:rPr>
          <w:rFonts w:ascii="Cambria" w:hAnsi="Cambria" w:cs="Times New Roman"/>
          <w:sz w:val="24"/>
          <w:szCs w:val="24"/>
        </w:rPr>
        <w:t xml:space="preserve">A, &amp; Adirakasiwi. (2023). Students' Mathematical Concept Understanding Ability in Solving Straight Line Equation Problems. </w:t>
      </w:r>
      <w:r>
        <w:rPr>
          <w:rFonts w:ascii="Cambria" w:hAnsi="Cambria" w:cs="Times New Roman"/>
          <w:i/>
          <w:iCs/>
          <w:sz w:val="24"/>
          <w:szCs w:val="24"/>
        </w:rPr>
        <w:t>Journal of Innovative Mathematics Learning</w:t>
      </w:r>
      <w:r>
        <w:rPr>
          <w:rFonts w:ascii="Cambria" w:hAnsi="Cambria" w:cs="Times New Roman"/>
          <w:sz w:val="24"/>
          <w:szCs w:val="24"/>
        </w:rPr>
        <w:t xml:space="preserve">, 6(3), 1257–1268. </w:t>
      </w:r>
      <w:r>
        <w:rPr>
          <w:rFonts w:ascii="Cambria" w:hAnsi="Cambria" w:cs="Times New Roman"/>
          <w:color w:val="0000FF"/>
          <w:sz w:val="24"/>
          <w:szCs w:val="24"/>
        </w:rPr>
        <w:t>https://doi.org/10.22460/jpmi.v6i3.17077</w:t>
      </w:r>
    </w:p>
    <w:p w14:paraId="28C94DF1">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color w:val="0000FF"/>
          <w:sz w:val="24"/>
          <w:szCs w:val="24"/>
        </w:rPr>
      </w:pPr>
      <w:r>
        <w:rPr>
          <w:rFonts w:ascii="Cambria" w:hAnsi="Cambria" w:cs="Times New Roman"/>
          <w:sz w:val="24"/>
          <w:szCs w:val="24"/>
        </w:rPr>
        <w:t xml:space="preserve">Bernard, M., Nurmala, N., Mariam, S., &amp; Rustyani, N. (2018). Analysis of Mathematical Problem Solving Ability of Junior High School Students in Grade IX on Plane Structure Material. </w:t>
      </w:r>
      <w:r>
        <w:rPr>
          <w:rFonts w:ascii="Cambria" w:hAnsi="Cambria" w:cs="Times New Roman"/>
          <w:i/>
          <w:iCs/>
          <w:sz w:val="24"/>
          <w:szCs w:val="24"/>
        </w:rPr>
        <w:t>SJME (Supremum Journal of Mathematics Education</w:t>
      </w:r>
      <w:r>
        <w:rPr>
          <w:rFonts w:ascii="Cambria" w:hAnsi="Cambria" w:cs="Times New Roman"/>
          <w:sz w:val="24"/>
          <w:szCs w:val="24"/>
        </w:rPr>
        <w:t xml:space="preserve">), 2(1), 77–83. </w:t>
      </w:r>
      <w:r>
        <w:rPr>
          <w:rFonts w:ascii="Cambria" w:hAnsi="Cambria" w:cs="Times New Roman"/>
          <w:color w:val="0000FF"/>
          <w:sz w:val="24"/>
          <w:szCs w:val="24"/>
        </w:rPr>
        <w:t>https://doi.org/10.46799/jst.v4i2.689</w:t>
      </w:r>
    </w:p>
    <w:p w14:paraId="4DBFD8B6">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 xml:space="preserve">Buyung. (2021). Analysis of Concept Understanding Ability Profile. </w:t>
      </w:r>
      <w:r>
        <w:rPr>
          <w:rFonts w:ascii="Cambria" w:hAnsi="Cambria" w:cs="Times New Roman"/>
          <w:i/>
          <w:iCs/>
          <w:sz w:val="24"/>
          <w:szCs w:val="24"/>
        </w:rPr>
        <w:t>Journal of Mathematics Education and Science</w:t>
      </w:r>
      <w:r>
        <w:rPr>
          <w:rFonts w:ascii="Cambria" w:hAnsi="Cambria" w:cs="Times New Roman"/>
          <w:sz w:val="24"/>
          <w:szCs w:val="24"/>
        </w:rPr>
        <w:t>, 7(1), 29–34.</w:t>
      </w:r>
    </w:p>
    <w:p w14:paraId="53E9A6DE">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hint="default" w:ascii="Cambria" w:hAnsi="Cambria" w:cs="Times New Roman"/>
          <w:sz w:val="24"/>
          <w:szCs w:val="24"/>
          <w:lang w:val="en-US"/>
        </w:rPr>
        <w:t>.</w:t>
      </w:r>
      <w:r>
        <w:rPr>
          <w:rFonts w:ascii="Cambria" w:hAnsi="Cambria" w:cs="Times New Roman"/>
          <w:sz w:val="24"/>
          <w:szCs w:val="24"/>
        </w:rPr>
        <w:t>Cahani, K., Effendi, K</w:t>
      </w:r>
      <w:r>
        <w:rPr>
          <w:rFonts w:hint="default" w:ascii="Cambria" w:hAnsi="Cambria" w:cs="Times New Roman"/>
          <w:sz w:val="24"/>
          <w:szCs w:val="24"/>
          <w:lang w:val="en-US"/>
        </w:rPr>
        <w:t xml:space="preserve">. </w:t>
      </w:r>
      <w:r>
        <w:rPr>
          <w:rFonts w:ascii="Cambria" w:hAnsi="Cambria" w:cs="Times New Roman"/>
          <w:sz w:val="24"/>
          <w:szCs w:val="24"/>
        </w:rPr>
        <w:t>N</w:t>
      </w:r>
      <w:r>
        <w:rPr>
          <w:rFonts w:hint="default" w:ascii="Cambria" w:hAnsi="Cambria" w:cs="Times New Roman"/>
          <w:sz w:val="24"/>
          <w:szCs w:val="24"/>
          <w:lang w:val="en-US"/>
        </w:rPr>
        <w:t xml:space="preserve">. </w:t>
      </w:r>
      <w:r>
        <w:rPr>
          <w:rFonts w:ascii="Cambria" w:hAnsi="Cambria" w:cs="Times New Roman"/>
          <w:sz w:val="24"/>
          <w:szCs w:val="24"/>
        </w:rPr>
        <w:t>S, &amp; Munandar, D</w:t>
      </w:r>
      <w:r>
        <w:rPr>
          <w:rFonts w:hint="default" w:ascii="Cambria" w:hAnsi="Cambria" w:cs="Times New Roman"/>
          <w:sz w:val="24"/>
          <w:szCs w:val="24"/>
          <w:lang w:val="en-US"/>
        </w:rPr>
        <w:t xml:space="preserve">. </w:t>
      </w:r>
      <w:r>
        <w:rPr>
          <w:rFonts w:ascii="Cambria" w:hAnsi="Cambria" w:cs="Times New Roman"/>
          <w:sz w:val="24"/>
          <w:szCs w:val="24"/>
        </w:rPr>
        <w:t xml:space="preserve">R (2021). Students' Mathematical Concept Understanding Ability Reviewed from Learning Concentration on Basic Statistics Material. </w:t>
      </w:r>
      <w:r>
        <w:rPr>
          <w:rFonts w:ascii="Cambria" w:hAnsi="Cambria" w:cs="Times New Roman"/>
          <w:i/>
          <w:iCs/>
          <w:sz w:val="24"/>
          <w:szCs w:val="24"/>
        </w:rPr>
        <w:t>Innovative Mathematics Learning</w:t>
      </w:r>
      <w:r>
        <w:rPr>
          <w:rFonts w:ascii="Cambria" w:hAnsi="Cambria" w:cs="Times New Roman"/>
          <w:sz w:val="24"/>
          <w:szCs w:val="24"/>
        </w:rPr>
        <w:t xml:space="preserve">, 4(1), 215–224. </w:t>
      </w:r>
      <w:r>
        <w:rPr>
          <w:rFonts w:ascii="Cambria" w:hAnsi="Cambria" w:cs="Times New Roman"/>
          <w:color w:val="0000FF"/>
          <w:sz w:val="24"/>
          <w:szCs w:val="24"/>
        </w:rPr>
        <w:t>https://doi.org/10.22460/jpmi.v4i1.215-224</w:t>
      </w:r>
    </w:p>
    <w:p w14:paraId="45B369F1">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Halawa, N., Telaumbanua, Y</w:t>
      </w:r>
      <w:r>
        <w:rPr>
          <w:rFonts w:hint="default" w:ascii="Cambria" w:hAnsi="Cambria" w:cs="Times New Roman"/>
          <w:sz w:val="24"/>
          <w:szCs w:val="24"/>
          <w:lang w:val="en-US"/>
        </w:rPr>
        <w:t xml:space="preserve">. </w:t>
      </w:r>
      <w:r>
        <w:rPr>
          <w:rFonts w:ascii="Cambria" w:hAnsi="Cambria" w:cs="Times New Roman"/>
          <w:sz w:val="24"/>
          <w:szCs w:val="24"/>
        </w:rPr>
        <w:t>N</w:t>
      </w:r>
      <w:r>
        <w:rPr>
          <w:rFonts w:hint="default" w:ascii="Cambria" w:hAnsi="Cambria" w:cs="Times New Roman"/>
          <w:sz w:val="24"/>
          <w:szCs w:val="24"/>
          <w:lang w:val="en-US"/>
        </w:rPr>
        <w:t>.</w:t>
      </w:r>
      <w:r>
        <w:rPr>
          <w:rFonts w:ascii="Cambria" w:hAnsi="Cambria" w:cs="Times New Roman"/>
          <w:sz w:val="24"/>
          <w:szCs w:val="24"/>
        </w:rPr>
        <w:t>, Zega, Y., &amp; Mendrofa, R</w:t>
      </w:r>
      <w:r>
        <w:rPr>
          <w:rFonts w:hint="default" w:ascii="Cambria" w:hAnsi="Cambria" w:cs="Times New Roman"/>
          <w:sz w:val="24"/>
          <w:szCs w:val="24"/>
          <w:lang w:val="en-US"/>
        </w:rPr>
        <w:t>.</w:t>
      </w:r>
      <w:r>
        <w:rPr>
          <w:rFonts w:ascii="Cambria" w:hAnsi="Cambria" w:cs="Times New Roman"/>
          <w:sz w:val="24"/>
          <w:szCs w:val="24"/>
        </w:rPr>
        <w:t>N</w:t>
      </w:r>
      <w:r>
        <w:rPr>
          <w:rFonts w:hint="default" w:ascii="Cambria" w:hAnsi="Cambria" w:cs="Times New Roman"/>
          <w:sz w:val="24"/>
          <w:szCs w:val="24"/>
          <w:lang w:val="en-US"/>
        </w:rPr>
        <w:t>.</w:t>
      </w:r>
      <w:r>
        <w:rPr>
          <w:rFonts w:ascii="Cambria" w:hAnsi="Cambria" w:cs="Times New Roman"/>
          <w:sz w:val="24"/>
          <w:szCs w:val="24"/>
        </w:rPr>
        <w:t xml:space="preserve"> (2024). Students' Errors in Solving Mathematics Problems Based on the Newman Method. </w:t>
      </w:r>
      <w:r>
        <w:rPr>
          <w:rFonts w:ascii="Cambria" w:hAnsi="Cambria" w:cs="Times New Roman"/>
          <w:i/>
          <w:iCs/>
          <w:sz w:val="24"/>
          <w:szCs w:val="24"/>
        </w:rPr>
        <w:t>Jurnal Suluh Pendidikan</w:t>
      </w:r>
      <w:r>
        <w:rPr>
          <w:rFonts w:ascii="Cambria" w:hAnsi="Cambria" w:cs="Times New Roman"/>
          <w:sz w:val="24"/>
          <w:szCs w:val="24"/>
        </w:rPr>
        <w:t>, 12(1), 51–63.</w:t>
      </w:r>
    </w:p>
    <w:p w14:paraId="0EF40D7B">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 xml:space="preserve">Kartika, Y. (2018). Analysis of Students' Mathematical Concept Understanding Ability in Grade VII on Algebraic Form Material. </w:t>
      </w:r>
      <w:r>
        <w:rPr>
          <w:rFonts w:ascii="Cambria" w:hAnsi="Cambria" w:cs="Times New Roman"/>
          <w:i/>
          <w:iCs/>
          <w:sz w:val="24"/>
          <w:szCs w:val="24"/>
        </w:rPr>
        <w:t>Tambusai Education Journa</w:t>
      </w:r>
      <w:r>
        <w:rPr>
          <w:rFonts w:ascii="Cambria" w:hAnsi="Cambria" w:cs="Times New Roman"/>
          <w:sz w:val="24"/>
          <w:szCs w:val="24"/>
        </w:rPr>
        <w:t xml:space="preserve">l, 3(1), 6–11. </w:t>
      </w:r>
      <w:r>
        <w:rPr>
          <w:rFonts w:ascii="Cambria" w:hAnsi="Cambria" w:cs="Times New Roman"/>
          <w:color w:val="0000FF"/>
          <w:sz w:val="24"/>
          <w:szCs w:val="24"/>
        </w:rPr>
        <w:t>https://doi.org/10.35706/rjrrme.v3i1.12075</w:t>
      </w:r>
    </w:p>
    <w:p w14:paraId="43B5F3BC">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 xml:space="preserve">Kartikasari, R. (2017). Analysis of Students' Difficulties in Solving Mathematical Story Problems in Junior High School Students. </w:t>
      </w:r>
      <w:r>
        <w:rPr>
          <w:rFonts w:ascii="Cambria" w:hAnsi="Cambria" w:cs="Times New Roman"/>
          <w:i/>
          <w:iCs/>
          <w:sz w:val="24"/>
          <w:szCs w:val="24"/>
        </w:rPr>
        <w:t>Thesis Muhammadiyah University Of Surakarta</w:t>
      </w:r>
      <w:r>
        <w:rPr>
          <w:rFonts w:ascii="Cambria" w:hAnsi="Cambria" w:cs="Times New Roman"/>
          <w:sz w:val="24"/>
          <w:szCs w:val="24"/>
        </w:rPr>
        <w:t>, 11(1), 92–105.</w:t>
      </w:r>
    </w:p>
    <w:p w14:paraId="36545B26">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Latumapina, M., Laamena, C</w:t>
      </w:r>
      <w:r>
        <w:rPr>
          <w:rFonts w:hint="default" w:ascii="Cambria" w:hAnsi="Cambria" w:cs="Times New Roman"/>
          <w:sz w:val="24"/>
          <w:szCs w:val="24"/>
          <w:lang w:val="en-US"/>
        </w:rPr>
        <w:t xml:space="preserve">. </w:t>
      </w:r>
      <w:r>
        <w:rPr>
          <w:rFonts w:ascii="Cambria" w:hAnsi="Cambria" w:cs="Times New Roman"/>
          <w:sz w:val="24"/>
          <w:szCs w:val="24"/>
        </w:rPr>
        <w:t>M</w:t>
      </w:r>
      <w:r>
        <w:rPr>
          <w:rFonts w:hint="default" w:ascii="Cambria" w:hAnsi="Cambria" w:cs="Times New Roman"/>
          <w:sz w:val="24"/>
          <w:szCs w:val="24"/>
          <w:lang w:val="en-US"/>
        </w:rPr>
        <w:t>.</w:t>
      </w:r>
      <w:r>
        <w:rPr>
          <w:rFonts w:ascii="Cambria" w:hAnsi="Cambria" w:cs="Times New Roman"/>
          <w:sz w:val="24"/>
          <w:szCs w:val="24"/>
        </w:rPr>
        <w:t>, &amp; Ayal, C</w:t>
      </w:r>
      <w:r>
        <w:rPr>
          <w:rFonts w:hint="default" w:ascii="Cambria" w:hAnsi="Cambria" w:cs="Times New Roman"/>
          <w:sz w:val="24"/>
          <w:szCs w:val="24"/>
          <w:lang w:val="en-US"/>
        </w:rPr>
        <w:t xml:space="preserve">. </w:t>
      </w:r>
      <w:r>
        <w:rPr>
          <w:rFonts w:ascii="Cambria" w:hAnsi="Cambria" w:cs="Times New Roman"/>
          <w:sz w:val="24"/>
          <w:szCs w:val="24"/>
        </w:rPr>
        <w:t>S</w:t>
      </w:r>
      <w:r>
        <w:rPr>
          <w:rFonts w:hint="default" w:ascii="Cambria" w:hAnsi="Cambria" w:cs="Times New Roman"/>
          <w:sz w:val="24"/>
          <w:szCs w:val="24"/>
          <w:lang w:val="en-US"/>
        </w:rPr>
        <w:t>.</w:t>
      </w:r>
      <w:r>
        <w:rPr>
          <w:rFonts w:ascii="Cambria" w:hAnsi="Cambria" w:cs="Times New Roman"/>
          <w:sz w:val="24"/>
          <w:szCs w:val="24"/>
        </w:rPr>
        <w:t xml:space="preserve"> (2024). Grade VII Junior High School Students on Set Material. Unpatti Mathematics Education Journal, 5(1), 57–68.</w:t>
      </w:r>
    </w:p>
    <w:p w14:paraId="5D399134">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hint="default" w:ascii="Cambria" w:hAnsi="Cambria" w:cs="Cambria"/>
          <w:sz w:val="24"/>
          <w:szCs w:val="24"/>
          <w:u w:val="none"/>
          <w:lang w:val="en-US"/>
        </w:rPr>
      </w:pPr>
      <w:r>
        <w:rPr>
          <w:rFonts w:ascii="Cambria" w:hAnsi="Cambria" w:cs="Times New Roman"/>
          <w:sz w:val="24"/>
          <w:szCs w:val="24"/>
        </w:rPr>
        <w:t>Nababan, S</w:t>
      </w:r>
      <w:r>
        <w:rPr>
          <w:rFonts w:hint="default" w:ascii="Cambria" w:hAnsi="Cambria" w:cs="Times New Roman"/>
          <w:sz w:val="24"/>
          <w:szCs w:val="24"/>
          <w:lang w:val="en-US"/>
        </w:rPr>
        <w:t xml:space="preserve">. </w:t>
      </w:r>
      <w:r>
        <w:rPr>
          <w:rFonts w:ascii="Cambria" w:hAnsi="Cambria" w:cs="Times New Roman"/>
          <w:sz w:val="24"/>
          <w:szCs w:val="24"/>
        </w:rPr>
        <w:t>A</w:t>
      </w:r>
      <w:r>
        <w:rPr>
          <w:rFonts w:hint="default" w:ascii="Cambria" w:hAnsi="Cambria" w:cs="Times New Roman"/>
          <w:sz w:val="24"/>
          <w:szCs w:val="24"/>
          <w:lang w:val="en-US"/>
        </w:rPr>
        <w:t>.</w:t>
      </w:r>
      <w:r>
        <w:rPr>
          <w:rFonts w:ascii="Cambria" w:hAnsi="Cambria" w:cs="Times New Roman"/>
          <w:sz w:val="24"/>
          <w:szCs w:val="24"/>
        </w:rPr>
        <w:t>, &amp; Tanjung, H</w:t>
      </w:r>
      <w:r>
        <w:rPr>
          <w:rFonts w:hint="default" w:ascii="Cambria" w:hAnsi="Cambria" w:cs="Times New Roman"/>
          <w:sz w:val="24"/>
          <w:szCs w:val="24"/>
          <w:lang w:val="en-US"/>
        </w:rPr>
        <w:t xml:space="preserve">. </w:t>
      </w:r>
      <w:r>
        <w:rPr>
          <w:rFonts w:ascii="Cambria" w:hAnsi="Cambria" w:cs="Times New Roman"/>
          <w:sz w:val="24"/>
          <w:szCs w:val="24"/>
        </w:rPr>
        <w:t>S</w:t>
      </w:r>
      <w:r>
        <w:rPr>
          <w:rFonts w:hint="default" w:ascii="Cambria" w:hAnsi="Cambria" w:cs="Times New Roman"/>
          <w:sz w:val="24"/>
          <w:szCs w:val="24"/>
          <w:lang w:val="en-US"/>
        </w:rPr>
        <w:t>.</w:t>
      </w:r>
      <w:r>
        <w:rPr>
          <w:rFonts w:ascii="Cambria" w:hAnsi="Cambria" w:cs="Times New Roman"/>
          <w:sz w:val="24"/>
          <w:szCs w:val="24"/>
        </w:rPr>
        <w:t xml:space="preserve"> (2020). Analysis of Students' Ability in Understanding Mathematical Concepts in the Material of Three-Variable Linear Equation Systems.</w:t>
      </w:r>
      <w:r>
        <w:rPr>
          <w:rFonts w:ascii="Cambria" w:hAnsi="Cambria" w:cs="Times New Roman"/>
          <w:i/>
          <w:iCs/>
          <w:sz w:val="24"/>
          <w:szCs w:val="24"/>
        </w:rPr>
        <w:t xml:space="preserve"> Genta Mulia: Scientific Journal of Education</w:t>
      </w:r>
      <w:r>
        <w:rPr>
          <w:rFonts w:ascii="Cambria" w:hAnsi="Cambria" w:cs="Times New Roman"/>
          <w:sz w:val="24"/>
          <w:szCs w:val="24"/>
        </w:rPr>
        <w:t>, 13(2), 354–364.</w:t>
      </w:r>
      <w:r>
        <w:rPr>
          <w:rFonts w:hint="default" w:ascii="Cambria" w:hAnsi="Cambria" w:cs="Times New Roman"/>
          <w:sz w:val="24"/>
          <w:szCs w:val="24"/>
          <w:lang w:val="en-US"/>
        </w:rPr>
        <w:t xml:space="preserve"> </w:t>
      </w:r>
      <w:r>
        <w:rPr>
          <w:rFonts w:hint="default" w:ascii="Cambria" w:hAnsi="Cambria" w:eastAsia="SimSun" w:cs="Cambria"/>
          <w:i w:val="0"/>
          <w:iCs w:val="0"/>
          <w:caps w:val="0"/>
          <w:spacing w:val="0"/>
          <w:sz w:val="24"/>
          <w:szCs w:val="24"/>
          <w:u w:val="none"/>
        </w:rPr>
        <w:fldChar w:fldCharType="begin"/>
      </w:r>
      <w:r>
        <w:rPr>
          <w:rFonts w:hint="default" w:ascii="Cambria" w:hAnsi="Cambria" w:eastAsia="SimSun" w:cs="Cambria"/>
          <w:i w:val="0"/>
          <w:iCs w:val="0"/>
          <w:caps w:val="0"/>
          <w:spacing w:val="0"/>
          <w:sz w:val="24"/>
          <w:szCs w:val="24"/>
          <w:u w:val="none"/>
        </w:rPr>
        <w:instrText xml:space="preserve"> HYPERLINK "https://doi.org/10.30598/jpmunpatti.v5.i1.p57-68" \t "https://apps.crossref.org/_blank" </w:instrText>
      </w:r>
      <w:r>
        <w:rPr>
          <w:rFonts w:hint="default" w:ascii="Cambria" w:hAnsi="Cambria" w:eastAsia="SimSun" w:cs="Cambria"/>
          <w:i w:val="0"/>
          <w:iCs w:val="0"/>
          <w:caps w:val="0"/>
          <w:spacing w:val="0"/>
          <w:sz w:val="24"/>
          <w:szCs w:val="24"/>
          <w:u w:val="none"/>
        </w:rPr>
        <w:fldChar w:fldCharType="separate"/>
      </w:r>
      <w:r>
        <w:rPr>
          <w:rStyle w:val="18"/>
          <w:rFonts w:hint="default" w:ascii="Cambria" w:hAnsi="Cambria" w:eastAsia="SimSun" w:cs="Cambria"/>
          <w:i w:val="0"/>
          <w:iCs w:val="0"/>
          <w:caps w:val="0"/>
          <w:spacing w:val="0"/>
          <w:sz w:val="24"/>
          <w:szCs w:val="24"/>
          <w:u w:val="none"/>
        </w:rPr>
        <w:t>https://doi.org/10.30598/jpmunpatti.v5.i1.p57-68</w:t>
      </w:r>
      <w:r>
        <w:rPr>
          <w:rFonts w:hint="default" w:ascii="Cambria" w:hAnsi="Cambria" w:eastAsia="SimSun" w:cs="Cambria"/>
          <w:i w:val="0"/>
          <w:iCs w:val="0"/>
          <w:caps w:val="0"/>
          <w:spacing w:val="0"/>
          <w:sz w:val="24"/>
          <w:szCs w:val="24"/>
          <w:u w:val="none"/>
        </w:rPr>
        <w:fldChar w:fldCharType="end"/>
      </w:r>
    </w:p>
    <w:p w14:paraId="04844DEA">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 xml:space="preserve">Nilasari, D. (2019). Analysis of mathematical concept understanding ability through solving quadratic equation math problems in class X of SMA Negeri 1 Pebayuran. SESIOMADIKA (Posiding of the National Seminar on Mathematics and Mathematics Education), 4(3), 673–679. </w:t>
      </w:r>
      <w:r>
        <w:rPr>
          <w:rFonts w:ascii="Cambria" w:hAnsi="Cambria" w:cs="Times New Roman"/>
          <w:color w:val="0000FF"/>
          <w:sz w:val="24"/>
          <w:szCs w:val="24"/>
        </w:rPr>
        <w:t>https://doi.org/10.33650/trilogi.v4i3.6217</w:t>
      </w:r>
    </w:p>
    <w:p w14:paraId="62ADAB33">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Rahmawati,</w:t>
      </w:r>
      <w:r>
        <w:rPr>
          <w:rFonts w:hint="default" w:ascii="Cambria" w:hAnsi="Cambria" w:cs="Times New Roman"/>
          <w:sz w:val="24"/>
          <w:szCs w:val="24"/>
          <w:lang w:val="en-US"/>
        </w:rPr>
        <w:t xml:space="preserve"> N. S.,</w:t>
      </w:r>
      <w:r>
        <w:rPr>
          <w:rFonts w:ascii="Cambria" w:hAnsi="Cambria" w:cs="Times New Roman"/>
          <w:sz w:val="24"/>
          <w:szCs w:val="24"/>
        </w:rPr>
        <w:t xml:space="preserve"> Bernard,</w:t>
      </w:r>
      <w:r>
        <w:rPr>
          <w:rFonts w:hint="default" w:ascii="Cambria" w:hAnsi="Cambria" w:cs="Times New Roman"/>
          <w:sz w:val="24"/>
          <w:szCs w:val="24"/>
          <w:lang w:val="en-US"/>
        </w:rPr>
        <w:t xml:space="preserve"> M.</w:t>
      </w:r>
      <w:r>
        <w:rPr>
          <w:rFonts w:ascii="Cambria" w:hAnsi="Cambria" w:cs="Times New Roman"/>
          <w:sz w:val="24"/>
          <w:szCs w:val="24"/>
        </w:rPr>
        <w:t xml:space="preserve"> &amp; Akbar</w:t>
      </w:r>
      <w:r>
        <w:rPr>
          <w:rFonts w:hint="default" w:ascii="Cambria" w:hAnsi="Cambria" w:cs="Times New Roman"/>
          <w:sz w:val="24"/>
          <w:szCs w:val="24"/>
          <w:lang w:val="en-US"/>
        </w:rPr>
        <w:t>, P</w:t>
      </w:r>
      <w:r>
        <w:rPr>
          <w:rFonts w:ascii="Cambria" w:hAnsi="Cambria" w:cs="Times New Roman"/>
          <w:sz w:val="24"/>
          <w:szCs w:val="24"/>
        </w:rPr>
        <w:t xml:space="preserve">. (2019). Analysis of Mathematical Communication Skills of Vocational High School Students on the Material of Two-Variable Linear Equation Systems (SPLDV). </w:t>
      </w:r>
      <w:r>
        <w:rPr>
          <w:rFonts w:ascii="Cambria" w:hAnsi="Cambria" w:cs="Times New Roman"/>
          <w:i/>
          <w:iCs/>
          <w:sz w:val="24"/>
          <w:szCs w:val="24"/>
        </w:rPr>
        <w:t>Journal On Education</w:t>
      </w:r>
      <w:r>
        <w:rPr>
          <w:rFonts w:ascii="Cambria" w:hAnsi="Cambria" w:cs="Times New Roman"/>
          <w:sz w:val="24"/>
          <w:szCs w:val="24"/>
        </w:rPr>
        <w:t>, 1(2), 344–352.</w:t>
      </w:r>
    </w:p>
    <w:p w14:paraId="3B8DAF46">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Nur, A</w:t>
      </w:r>
      <w:r>
        <w:rPr>
          <w:rFonts w:hint="default" w:ascii="Cambria" w:hAnsi="Cambria" w:cs="Times New Roman"/>
          <w:sz w:val="24"/>
          <w:szCs w:val="24"/>
          <w:lang w:val="en-US"/>
        </w:rPr>
        <w:t xml:space="preserve">. </w:t>
      </w:r>
      <w:r>
        <w:rPr>
          <w:rFonts w:ascii="Cambria" w:hAnsi="Cambria" w:cs="Times New Roman"/>
          <w:sz w:val="24"/>
          <w:szCs w:val="24"/>
        </w:rPr>
        <w:t>F</w:t>
      </w:r>
      <w:r>
        <w:rPr>
          <w:rFonts w:hint="default" w:ascii="Cambria" w:hAnsi="Cambria" w:cs="Times New Roman"/>
          <w:sz w:val="24"/>
          <w:szCs w:val="24"/>
          <w:lang w:val="en-US"/>
        </w:rPr>
        <w:t xml:space="preserve">. </w:t>
      </w:r>
      <w:r>
        <w:rPr>
          <w:rFonts w:ascii="Cambria" w:hAnsi="Cambria" w:cs="Times New Roman"/>
          <w:sz w:val="24"/>
          <w:szCs w:val="24"/>
        </w:rPr>
        <w:t xml:space="preserve">, Prasetyowati, D., &amp; Ariyanto, L. (2023). Analysis of Students' Errors in Solving Integer Arithmetic Operation Story Problems Based on Watson's Criteria. </w:t>
      </w:r>
      <w:r>
        <w:rPr>
          <w:rFonts w:ascii="Cambria" w:hAnsi="Cambria" w:cs="Times New Roman"/>
          <w:i/>
          <w:iCs/>
          <w:sz w:val="24"/>
          <w:szCs w:val="24"/>
        </w:rPr>
        <w:t>Imajiner: Journal of Mathematics and Mathematics Education</w:t>
      </w:r>
      <w:r>
        <w:rPr>
          <w:rFonts w:ascii="Cambria" w:hAnsi="Cambria" w:cs="Times New Roman"/>
          <w:sz w:val="24"/>
          <w:szCs w:val="24"/>
        </w:rPr>
        <w:t xml:space="preserve">, 5(1), 9–20. </w:t>
      </w:r>
      <w:r>
        <w:rPr>
          <w:rFonts w:ascii="Cambria" w:hAnsi="Cambria" w:cs="Times New Roman"/>
          <w:color w:val="0000FF"/>
          <w:sz w:val="24"/>
          <w:szCs w:val="24"/>
        </w:rPr>
        <w:t>https://doi.org/10.26877/imajiner.v5i1.12702</w:t>
      </w:r>
    </w:p>
    <w:p w14:paraId="4589F1E9">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 xml:space="preserve">Pancarita, &amp; Zainah. (2019). Analysis of Students' Mathematical Understanding in Solving Story Problems on Functional Composition Material. </w:t>
      </w:r>
      <w:r>
        <w:rPr>
          <w:rFonts w:ascii="Cambria" w:hAnsi="Cambria" w:cs="Times New Roman"/>
          <w:i/>
          <w:iCs/>
          <w:sz w:val="24"/>
          <w:szCs w:val="24"/>
        </w:rPr>
        <w:t>Journal of Education</w:t>
      </w:r>
      <w:r>
        <w:rPr>
          <w:rFonts w:ascii="Cambria" w:hAnsi="Cambria" w:cs="Times New Roman"/>
          <w:sz w:val="24"/>
          <w:szCs w:val="24"/>
        </w:rPr>
        <w:t>, 20(1), 79–85.</w:t>
      </w:r>
    </w:p>
    <w:p w14:paraId="58125D8C">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Pujianti, A., Setiawan, W., &amp; Hendriana, H. (2023). Analysis of Students' Mathematical Communication Skills in Quadrilateral Material Reviewed from Self Directing Learning.</w:t>
      </w:r>
      <w:r>
        <w:rPr>
          <w:rFonts w:ascii="Cambria" w:hAnsi="Cambria" w:cs="Times New Roman"/>
          <w:i/>
          <w:iCs/>
          <w:sz w:val="24"/>
          <w:szCs w:val="24"/>
        </w:rPr>
        <w:t xml:space="preserve"> Journal of Innovative Mathematics Learning</w:t>
      </w:r>
      <w:r>
        <w:rPr>
          <w:rFonts w:ascii="Cambria" w:hAnsi="Cambria" w:cs="Times New Roman"/>
          <w:sz w:val="24"/>
          <w:szCs w:val="24"/>
        </w:rPr>
        <w:t xml:space="preserve">, 6(4), 1431–1440. </w:t>
      </w:r>
      <w:r>
        <w:rPr>
          <w:rFonts w:ascii="Cambria" w:hAnsi="Cambria" w:cs="Times New Roman"/>
          <w:color w:val="0000FF"/>
          <w:sz w:val="24"/>
          <w:szCs w:val="24"/>
        </w:rPr>
        <w:t>https://doi.org/10.22460/jpmi.v6i4.18279</w:t>
      </w:r>
    </w:p>
    <w:p w14:paraId="539B9EE5">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Putri, I</w:t>
      </w:r>
      <w:r>
        <w:rPr>
          <w:rFonts w:hint="default" w:ascii="Cambria" w:hAnsi="Cambria" w:cs="Times New Roman"/>
          <w:sz w:val="24"/>
          <w:szCs w:val="24"/>
          <w:lang w:val="en-US"/>
        </w:rPr>
        <w:t>.</w:t>
      </w:r>
      <w:r>
        <w:rPr>
          <w:rFonts w:ascii="Cambria" w:hAnsi="Cambria" w:cs="Times New Roman"/>
          <w:sz w:val="24"/>
          <w:szCs w:val="24"/>
        </w:rPr>
        <w:t>C</w:t>
      </w:r>
      <w:r>
        <w:rPr>
          <w:rFonts w:hint="default" w:ascii="Cambria" w:hAnsi="Cambria" w:cs="Times New Roman"/>
          <w:sz w:val="24"/>
          <w:szCs w:val="24"/>
          <w:lang w:val="en-US"/>
        </w:rPr>
        <w:t>.</w:t>
      </w:r>
      <w:r>
        <w:rPr>
          <w:rFonts w:ascii="Cambria" w:hAnsi="Cambria" w:cs="Times New Roman"/>
          <w:sz w:val="24"/>
          <w:szCs w:val="24"/>
        </w:rPr>
        <w:t xml:space="preserve">, &amp; Roesdiana, L. (2021). Analysis of Students' Learning Methods in Mathematics Learning. </w:t>
      </w:r>
      <w:r>
        <w:rPr>
          <w:rFonts w:ascii="Cambria" w:hAnsi="Cambria" w:cs="Times New Roman"/>
          <w:i/>
          <w:iCs/>
          <w:sz w:val="24"/>
          <w:szCs w:val="24"/>
        </w:rPr>
        <w:t>Maju</w:t>
      </w:r>
      <w:r>
        <w:rPr>
          <w:rFonts w:ascii="Cambria" w:hAnsi="Cambria" w:cs="Times New Roman"/>
          <w:sz w:val="24"/>
          <w:szCs w:val="24"/>
        </w:rPr>
        <w:t>, 8(1), 125–132.</w:t>
      </w:r>
    </w:p>
    <w:p w14:paraId="142BABA2">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Ramadhani, W</w:t>
      </w:r>
      <w:r>
        <w:rPr>
          <w:rFonts w:hint="default" w:ascii="Cambria" w:hAnsi="Cambria" w:cs="Times New Roman"/>
          <w:sz w:val="24"/>
          <w:szCs w:val="24"/>
          <w:lang w:val="en-US"/>
        </w:rPr>
        <w:t xml:space="preserve">. </w:t>
      </w:r>
      <w:r>
        <w:rPr>
          <w:rFonts w:ascii="Cambria" w:hAnsi="Cambria" w:cs="Times New Roman"/>
          <w:sz w:val="24"/>
          <w:szCs w:val="24"/>
        </w:rPr>
        <w:t>P</w:t>
      </w:r>
      <w:r>
        <w:rPr>
          <w:rFonts w:hint="default" w:ascii="Cambria" w:hAnsi="Cambria" w:cs="Times New Roman"/>
          <w:sz w:val="24"/>
          <w:szCs w:val="24"/>
          <w:lang w:val="en-US"/>
        </w:rPr>
        <w:t>.</w:t>
      </w:r>
      <w:r>
        <w:rPr>
          <w:rFonts w:ascii="Cambria" w:hAnsi="Cambria" w:cs="Times New Roman"/>
          <w:sz w:val="24"/>
          <w:szCs w:val="24"/>
        </w:rPr>
        <w:t xml:space="preserve"> (2022). Differences in Mastery of Integer Operation Material of Junior High School Students in Villages and in Cities Using Fast Counting Techniques. </w:t>
      </w:r>
      <w:r>
        <w:rPr>
          <w:rFonts w:ascii="Cambria" w:hAnsi="Cambria" w:cs="Times New Roman"/>
          <w:i/>
          <w:iCs/>
          <w:sz w:val="24"/>
          <w:szCs w:val="24"/>
        </w:rPr>
        <w:t>Jurnal Abdimas Indonesia</w:t>
      </w:r>
      <w:r>
        <w:rPr>
          <w:rFonts w:ascii="Cambria" w:hAnsi="Cambria" w:cs="Times New Roman"/>
          <w:sz w:val="24"/>
          <w:szCs w:val="24"/>
        </w:rPr>
        <w:t xml:space="preserve">, 2(2), 216–222. </w:t>
      </w:r>
      <w:r>
        <w:rPr>
          <w:rFonts w:ascii="Cambria" w:hAnsi="Cambria" w:cs="Times New Roman"/>
          <w:color w:val="0000FF"/>
          <w:sz w:val="24"/>
          <w:szCs w:val="24"/>
        </w:rPr>
        <w:t>https://doi.org/10.53769/jai.v2i2.239</w:t>
      </w:r>
    </w:p>
    <w:p w14:paraId="6A6423AA">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 xml:space="preserve">Rohmah, S., &amp; Rinaldi, A. (2019). Analysis of Mathematical Communication Ability: The Impact of Emotional Intelligence on Algebraic Arithmetic Operation Material. </w:t>
      </w:r>
      <w:r>
        <w:rPr>
          <w:rFonts w:ascii="Cambria" w:hAnsi="Cambria" w:cs="Times New Roman"/>
          <w:i/>
          <w:iCs/>
          <w:sz w:val="24"/>
          <w:szCs w:val="24"/>
        </w:rPr>
        <w:t>National Seminar on Mathematics and Mathematics Education</w:t>
      </w:r>
      <w:r>
        <w:rPr>
          <w:rFonts w:ascii="Cambria" w:hAnsi="Cambria" w:cs="Times New Roman"/>
          <w:sz w:val="24"/>
          <w:szCs w:val="24"/>
        </w:rPr>
        <w:t>, 2(1), 199–210.</w:t>
      </w:r>
    </w:p>
    <w:p w14:paraId="1EB92B58">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hint="default" w:ascii="Cambria" w:hAnsi="Cambria" w:cs="Times New Roman"/>
          <w:sz w:val="24"/>
          <w:szCs w:val="24"/>
          <w:lang w:val="en-US"/>
        </w:rPr>
      </w:pPr>
      <w:r>
        <w:rPr>
          <w:rFonts w:ascii="Cambria" w:hAnsi="Cambria" w:cs="Times New Roman"/>
          <w:sz w:val="24"/>
          <w:szCs w:val="24"/>
        </w:rPr>
        <w:t>Sefiany, N., Masrukan, &amp; Zaenuri. (2016). Mathematical Communication Ability Of Grade V</w:t>
      </w:r>
      <w:r>
        <w:rPr>
          <w:rFonts w:hint="default" w:ascii="Cambria" w:hAnsi="Cambria" w:cs="Times New Roman"/>
          <w:sz w:val="24"/>
          <w:szCs w:val="24"/>
          <w:lang w:val="en-US"/>
        </w:rPr>
        <w:t>II</w:t>
      </w:r>
      <w:r>
        <w:rPr>
          <w:rFonts w:ascii="Cambria" w:hAnsi="Cambria" w:cs="Times New Roman"/>
          <w:sz w:val="24"/>
          <w:szCs w:val="24"/>
        </w:rPr>
        <w:t xml:space="preserve"> Students In The Model Info Article Abstract. </w:t>
      </w:r>
      <w:r>
        <w:rPr>
          <w:rFonts w:ascii="Cambria" w:hAnsi="Cambria" w:cs="Times New Roman"/>
          <w:i/>
          <w:iCs/>
          <w:sz w:val="24"/>
          <w:szCs w:val="24"/>
        </w:rPr>
        <w:t>Unnes Journal of Mathematics Education</w:t>
      </w:r>
      <w:r>
        <w:rPr>
          <w:rFonts w:ascii="Cambria" w:hAnsi="Cambria" w:cs="Times New Roman"/>
          <w:sz w:val="24"/>
          <w:szCs w:val="24"/>
        </w:rPr>
        <w:t>, 5(3), 227–233</w:t>
      </w:r>
      <w:r>
        <w:rPr>
          <w:rFonts w:hint="default" w:ascii="Cambria" w:hAnsi="Cambria" w:cs="Cambria"/>
          <w:sz w:val="24"/>
          <w:szCs w:val="24"/>
          <w:u w:val="none"/>
        </w:rPr>
        <w:t>.</w:t>
      </w:r>
      <w:r>
        <w:rPr>
          <w:rFonts w:hint="default" w:ascii="Cambria" w:hAnsi="Cambria" w:cs="Cambria"/>
          <w:sz w:val="24"/>
          <w:szCs w:val="24"/>
          <w:u w:val="none"/>
          <w:lang w:val="en-US"/>
        </w:rPr>
        <w:t xml:space="preserve"> </w:t>
      </w:r>
      <w:r>
        <w:rPr>
          <w:rFonts w:hint="default" w:ascii="Cambria" w:hAnsi="Cambria" w:eastAsia="SimSun" w:cs="Cambria"/>
          <w:i w:val="0"/>
          <w:iCs w:val="0"/>
          <w:caps w:val="0"/>
          <w:spacing w:val="0"/>
          <w:sz w:val="24"/>
          <w:szCs w:val="24"/>
          <w:u w:val="none"/>
        </w:rPr>
        <w:fldChar w:fldCharType="begin"/>
      </w:r>
      <w:r>
        <w:rPr>
          <w:rFonts w:hint="default" w:ascii="Cambria" w:hAnsi="Cambria" w:eastAsia="SimSun" w:cs="Cambria"/>
          <w:i w:val="0"/>
          <w:iCs w:val="0"/>
          <w:caps w:val="0"/>
          <w:spacing w:val="0"/>
          <w:sz w:val="24"/>
          <w:szCs w:val="24"/>
          <w:u w:val="none"/>
        </w:rPr>
        <w:instrText xml:space="preserve"> HYPERLINK "https://doi.org/10.15294/ujme.v5i3.12014" \t "https://apps.crossref.org/_blank" </w:instrText>
      </w:r>
      <w:r>
        <w:rPr>
          <w:rFonts w:hint="default" w:ascii="Cambria" w:hAnsi="Cambria" w:eastAsia="SimSun" w:cs="Cambria"/>
          <w:i w:val="0"/>
          <w:iCs w:val="0"/>
          <w:caps w:val="0"/>
          <w:spacing w:val="0"/>
          <w:sz w:val="24"/>
          <w:szCs w:val="24"/>
          <w:u w:val="none"/>
        </w:rPr>
        <w:fldChar w:fldCharType="separate"/>
      </w:r>
      <w:r>
        <w:rPr>
          <w:rStyle w:val="18"/>
          <w:rFonts w:hint="default" w:ascii="Cambria" w:hAnsi="Cambria" w:eastAsia="SimSun" w:cs="Cambria"/>
          <w:i w:val="0"/>
          <w:iCs w:val="0"/>
          <w:caps w:val="0"/>
          <w:spacing w:val="0"/>
          <w:sz w:val="24"/>
          <w:szCs w:val="24"/>
          <w:u w:val="none"/>
        </w:rPr>
        <w:t>https://doi.org/10.15294/ujme.v5i3.12014</w:t>
      </w:r>
      <w:r>
        <w:rPr>
          <w:rFonts w:hint="default" w:ascii="Cambria" w:hAnsi="Cambria" w:eastAsia="SimSun" w:cs="Cambria"/>
          <w:i w:val="0"/>
          <w:iCs w:val="0"/>
          <w:caps w:val="0"/>
          <w:spacing w:val="0"/>
          <w:sz w:val="24"/>
          <w:szCs w:val="24"/>
          <w:u w:val="none"/>
        </w:rPr>
        <w:fldChar w:fldCharType="end"/>
      </w:r>
    </w:p>
    <w:p w14:paraId="40C088BD">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 xml:space="preserve">Setiani, N., Roza, Y., &amp; Maimumah. (2022). Analysis of Students' Abilities in Understanding Mathematical Concepts of Probability Material in Junior High School Students. </w:t>
      </w:r>
      <w:r>
        <w:rPr>
          <w:rFonts w:ascii="Cambria" w:hAnsi="Cambria" w:cs="Times New Roman"/>
          <w:i/>
          <w:iCs/>
          <w:sz w:val="24"/>
          <w:szCs w:val="24"/>
        </w:rPr>
        <w:t>Jurnal Cendekia: Journal of Mathematics Education</w:t>
      </w:r>
      <w:r>
        <w:rPr>
          <w:rFonts w:ascii="Cambria" w:hAnsi="Cambria" w:cs="Times New Roman"/>
          <w:sz w:val="24"/>
          <w:szCs w:val="24"/>
        </w:rPr>
        <w:t>, 6(2), 2286–2297.</w:t>
      </w:r>
    </w:p>
    <w:p w14:paraId="354A9639">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Siregar, N</w:t>
      </w:r>
      <w:r>
        <w:rPr>
          <w:rFonts w:hint="default" w:ascii="Cambria" w:hAnsi="Cambria" w:cs="Times New Roman"/>
          <w:sz w:val="24"/>
          <w:szCs w:val="24"/>
          <w:lang w:val="en-US"/>
        </w:rPr>
        <w:t xml:space="preserve">. </w:t>
      </w:r>
      <w:r>
        <w:rPr>
          <w:rFonts w:ascii="Cambria" w:hAnsi="Cambria" w:cs="Times New Roman"/>
          <w:sz w:val="24"/>
          <w:szCs w:val="24"/>
        </w:rPr>
        <w:t>F</w:t>
      </w:r>
      <w:r>
        <w:rPr>
          <w:rFonts w:hint="default" w:ascii="Cambria" w:hAnsi="Cambria" w:cs="Times New Roman"/>
          <w:sz w:val="24"/>
          <w:szCs w:val="24"/>
          <w:lang w:val="en-US"/>
        </w:rPr>
        <w:t>.</w:t>
      </w:r>
      <w:r>
        <w:rPr>
          <w:rFonts w:ascii="Cambria" w:hAnsi="Cambria" w:cs="Times New Roman"/>
          <w:sz w:val="24"/>
          <w:szCs w:val="24"/>
        </w:rPr>
        <w:t xml:space="preserve"> (2021). Understanding of Junior High School Students' Mathematical Concepts Through the Realistic Mathematics Education Approach. </w:t>
      </w:r>
      <w:r>
        <w:rPr>
          <w:rFonts w:ascii="Cambria" w:hAnsi="Cambria" w:cs="Times New Roman"/>
          <w:i/>
          <w:iCs/>
          <w:sz w:val="24"/>
          <w:szCs w:val="24"/>
        </w:rPr>
        <w:t>Jurnal Cendekia: Jurnal Pendidikan Matematika</w:t>
      </w:r>
      <w:r>
        <w:rPr>
          <w:rFonts w:ascii="Cambria" w:hAnsi="Cambria" w:cs="Times New Roman"/>
          <w:sz w:val="24"/>
          <w:szCs w:val="24"/>
        </w:rPr>
        <w:t xml:space="preserve">, 5(2), 1919–1927. </w:t>
      </w:r>
      <w:r>
        <w:rPr>
          <w:rFonts w:ascii="Cambria" w:hAnsi="Cambria" w:cs="Times New Roman"/>
          <w:color w:val="0000FF"/>
          <w:sz w:val="24"/>
          <w:szCs w:val="24"/>
        </w:rPr>
        <w:t>https://doi.org/10.25105/bhuwana.v1i2.12536</w:t>
      </w:r>
    </w:p>
    <w:p w14:paraId="0971E133">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Siregar, T</w:t>
      </w:r>
      <w:r>
        <w:rPr>
          <w:rFonts w:hint="default" w:ascii="Cambria" w:hAnsi="Cambria" w:cs="Times New Roman"/>
          <w:sz w:val="24"/>
          <w:szCs w:val="24"/>
          <w:lang w:val="en-US"/>
        </w:rPr>
        <w:t xml:space="preserve">. </w:t>
      </w:r>
      <w:r>
        <w:rPr>
          <w:rFonts w:ascii="Cambria" w:hAnsi="Cambria" w:cs="Times New Roman"/>
          <w:sz w:val="24"/>
          <w:szCs w:val="24"/>
        </w:rPr>
        <w:t>N</w:t>
      </w:r>
      <w:r>
        <w:rPr>
          <w:rFonts w:hint="default" w:ascii="Cambria" w:hAnsi="Cambria" w:cs="Times New Roman"/>
          <w:sz w:val="24"/>
          <w:szCs w:val="24"/>
          <w:lang w:val="en-US"/>
        </w:rPr>
        <w:t>.</w:t>
      </w:r>
      <w:r>
        <w:rPr>
          <w:rFonts w:ascii="Cambria" w:hAnsi="Cambria" w:cs="Times New Roman"/>
          <w:sz w:val="24"/>
          <w:szCs w:val="24"/>
        </w:rPr>
        <w:t xml:space="preserve"> (2023). The Influence of Puzzle Media on Students' Conceptual Understanding in Mathematics Learning in Grade IV of SDN 100900 Gunung Tua, Padang Bolak District, North Padang Lawas Regency. Thesis, Syekh Ali Hasan Ahmad Addary State Islamic University, 3(1), 1–128.</w:t>
      </w:r>
      <w:bookmarkStart w:id="12" w:name="_GoBack"/>
      <w:bookmarkEnd w:id="12"/>
    </w:p>
    <w:p w14:paraId="70D928DB">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 xml:space="preserve">Sulasih, &amp; Firmansyah, D. (2025). Analysis of the Ability to Understand Mathematical Concepts of Junior High School Students on Cube and Block Material. </w:t>
      </w:r>
      <w:r>
        <w:rPr>
          <w:rFonts w:ascii="Cambria" w:hAnsi="Cambria" w:cs="Times New Roman"/>
          <w:i/>
          <w:iCs/>
          <w:sz w:val="24"/>
          <w:szCs w:val="24"/>
        </w:rPr>
        <w:t>Journal of Mathematics Education Sigma</w:t>
      </w:r>
      <w:r>
        <w:rPr>
          <w:rFonts w:ascii="Cambria" w:hAnsi="Cambria" w:cs="Times New Roman"/>
          <w:sz w:val="24"/>
          <w:szCs w:val="24"/>
        </w:rPr>
        <w:t xml:space="preserve">, 6(1), 14–25. </w:t>
      </w:r>
      <w:r>
        <w:rPr>
          <w:rFonts w:ascii="Cambria" w:hAnsi="Cambria" w:cs="Times New Roman"/>
          <w:color w:val="0000FF"/>
          <w:sz w:val="24"/>
          <w:szCs w:val="24"/>
        </w:rPr>
        <w:t>https://doi.org/10.21067/pmej.v2i1.2838</w:t>
      </w:r>
    </w:p>
    <w:p w14:paraId="560156C3">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 xml:space="preserve">Widiastuti, D. (2023). Utilization of Teaching Aids in Whole Number Learning to Improve Students' Understanding of Mathematical Concepts. </w:t>
      </w:r>
      <w:r>
        <w:rPr>
          <w:rFonts w:ascii="Cambria" w:hAnsi="Cambria" w:cs="Times New Roman"/>
          <w:i/>
          <w:iCs/>
          <w:sz w:val="24"/>
          <w:szCs w:val="24"/>
        </w:rPr>
        <w:t>Journal of Mathematics Education Innovation</w:t>
      </w:r>
      <w:r>
        <w:rPr>
          <w:rFonts w:ascii="Cambria" w:hAnsi="Cambria" w:cs="Times New Roman"/>
          <w:sz w:val="24"/>
          <w:szCs w:val="24"/>
        </w:rPr>
        <w:t>, 7(3), 159–172.</w:t>
      </w:r>
    </w:p>
    <w:p w14:paraId="0C6A64C3">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cs="Times New Roman"/>
          <w:sz w:val="24"/>
          <w:szCs w:val="24"/>
        </w:rPr>
      </w:pPr>
      <w:r>
        <w:rPr>
          <w:rFonts w:ascii="Cambria" w:hAnsi="Cambria" w:cs="Times New Roman"/>
          <w:sz w:val="24"/>
          <w:szCs w:val="24"/>
        </w:rPr>
        <w:t>Widodo, K., Budiarto, M</w:t>
      </w:r>
      <w:r>
        <w:rPr>
          <w:rFonts w:hint="default" w:ascii="Cambria" w:hAnsi="Cambria" w:cs="Times New Roman"/>
          <w:sz w:val="24"/>
          <w:szCs w:val="24"/>
          <w:lang w:val="en-US"/>
        </w:rPr>
        <w:t xml:space="preserve">. </w:t>
      </w:r>
      <w:r>
        <w:rPr>
          <w:rFonts w:ascii="Cambria" w:hAnsi="Cambria" w:cs="Times New Roman"/>
          <w:sz w:val="24"/>
          <w:szCs w:val="24"/>
        </w:rPr>
        <w:t xml:space="preserve">T, &amp; Lukito, A. (2018). Profile Of Creative Problem Solving Of Ma Students Reviewed From The Level Of Math Self-Efficacy. </w:t>
      </w:r>
      <w:r>
        <w:rPr>
          <w:rFonts w:ascii="Cambria" w:hAnsi="Cambria" w:cs="Times New Roman"/>
          <w:i/>
          <w:iCs/>
          <w:sz w:val="24"/>
          <w:szCs w:val="24"/>
        </w:rPr>
        <w:t>Journal of Creative-Innovative Mathematics</w:t>
      </w:r>
      <w:r>
        <w:rPr>
          <w:rFonts w:ascii="Cambria" w:hAnsi="Cambria" w:cs="Times New Roman"/>
          <w:sz w:val="24"/>
          <w:szCs w:val="24"/>
        </w:rPr>
        <w:t>, 1(1), 11</w:t>
      </w:r>
      <w:r>
        <w:rPr>
          <w:rFonts w:hint="default" w:ascii="Cambria" w:hAnsi="Cambria" w:cs="Times New Roman"/>
          <w:sz w:val="24"/>
          <w:szCs w:val="24"/>
          <w:lang w:val="en-US"/>
        </w:rPr>
        <w:t>-20</w:t>
      </w:r>
      <w:r>
        <w:rPr>
          <w:rFonts w:ascii="Cambria" w:hAnsi="Cambria" w:cs="Times New Roman"/>
          <w:sz w:val="24"/>
          <w:szCs w:val="24"/>
        </w:rPr>
        <w:t xml:space="preserve">. </w:t>
      </w:r>
      <w:r>
        <w:rPr>
          <w:rFonts w:ascii="Cambria" w:hAnsi="Cambria" w:cs="Times New Roman"/>
          <w:color w:val="0000FF"/>
          <w:sz w:val="24"/>
          <w:szCs w:val="24"/>
        </w:rPr>
        <w:t>https://doi.org/10.26740/jrpipm.v1n1.p11-18</w:t>
      </w:r>
    </w:p>
    <w:p w14:paraId="68A85239">
      <w:pPr>
        <w:keepNext w:val="0"/>
        <w:keepLines w:val="0"/>
        <w:pageBreakBefore w:val="0"/>
        <w:widowControl w:val="0"/>
        <w:kinsoku/>
        <w:wordWrap/>
        <w:overflowPunct/>
        <w:topLinePunct w:val="0"/>
        <w:autoSpaceDE w:val="0"/>
        <w:autoSpaceDN w:val="0"/>
        <w:bidi w:val="0"/>
        <w:adjustRightInd w:val="0"/>
        <w:snapToGrid/>
        <w:spacing w:after="0" w:line="240" w:lineRule="auto"/>
        <w:ind w:left="480" w:hanging="480"/>
        <w:jc w:val="both"/>
        <w:textAlignment w:val="auto"/>
        <w:rPr>
          <w:rFonts w:ascii="Cambria" w:hAnsi="Cambria"/>
          <w:sz w:val="24"/>
        </w:rPr>
      </w:pPr>
      <w:r>
        <w:rPr>
          <w:rFonts w:ascii="Cambria" w:hAnsi="Cambria" w:cs="Times New Roman"/>
          <w:sz w:val="24"/>
          <w:szCs w:val="24"/>
        </w:rPr>
        <w:t>Yulia, P., Gunawan, R</w:t>
      </w:r>
      <w:r>
        <w:rPr>
          <w:rFonts w:hint="default" w:ascii="Cambria" w:hAnsi="Cambria" w:cs="Times New Roman"/>
          <w:sz w:val="24"/>
          <w:szCs w:val="24"/>
          <w:lang w:val="en-US"/>
        </w:rPr>
        <w:t xml:space="preserve">. </w:t>
      </w:r>
      <w:r>
        <w:rPr>
          <w:rFonts w:ascii="Cambria" w:hAnsi="Cambria" w:cs="Times New Roman"/>
          <w:sz w:val="24"/>
          <w:szCs w:val="24"/>
        </w:rPr>
        <w:t>G</w:t>
      </w:r>
      <w:r>
        <w:rPr>
          <w:rFonts w:hint="default" w:ascii="Cambria" w:hAnsi="Cambria" w:cs="Times New Roman"/>
          <w:sz w:val="24"/>
          <w:szCs w:val="24"/>
          <w:lang w:val="en-US"/>
        </w:rPr>
        <w:t>.</w:t>
      </w:r>
      <w:r>
        <w:rPr>
          <w:rFonts w:ascii="Cambria" w:hAnsi="Cambria" w:cs="Times New Roman"/>
          <w:sz w:val="24"/>
          <w:szCs w:val="24"/>
        </w:rPr>
        <w:t>, &amp; Nasution, E</w:t>
      </w:r>
      <w:r>
        <w:rPr>
          <w:rFonts w:hint="default" w:ascii="Cambria" w:hAnsi="Cambria" w:cs="Times New Roman"/>
          <w:sz w:val="24"/>
          <w:szCs w:val="24"/>
          <w:lang w:val="en-US"/>
        </w:rPr>
        <w:t xml:space="preserve">. </w:t>
      </w:r>
      <w:r>
        <w:rPr>
          <w:rFonts w:ascii="Cambria" w:hAnsi="Cambria" w:cs="Times New Roman"/>
          <w:sz w:val="24"/>
          <w:szCs w:val="24"/>
        </w:rPr>
        <w:t>Y</w:t>
      </w:r>
      <w:r>
        <w:rPr>
          <w:rFonts w:hint="default" w:ascii="Cambria" w:hAnsi="Cambria" w:cs="Times New Roman"/>
          <w:sz w:val="24"/>
          <w:szCs w:val="24"/>
          <w:lang w:val="en-US"/>
        </w:rPr>
        <w:t xml:space="preserve">. </w:t>
      </w:r>
      <w:r>
        <w:rPr>
          <w:rFonts w:ascii="Cambria" w:hAnsi="Cambria" w:cs="Times New Roman"/>
          <w:sz w:val="24"/>
          <w:szCs w:val="24"/>
        </w:rPr>
        <w:t>P</w:t>
      </w:r>
      <w:r>
        <w:rPr>
          <w:rFonts w:hint="default" w:ascii="Cambria" w:hAnsi="Cambria" w:cs="Times New Roman"/>
          <w:sz w:val="24"/>
          <w:szCs w:val="24"/>
          <w:lang w:val="en-US"/>
        </w:rPr>
        <w:t>.</w:t>
      </w:r>
      <w:r>
        <w:rPr>
          <w:rFonts w:ascii="Cambria" w:hAnsi="Cambria" w:cs="Times New Roman"/>
          <w:sz w:val="24"/>
          <w:szCs w:val="24"/>
        </w:rPr>
        <w:t xml:space="preserve"> (2020). The Effect of Problem Based Learning (PBL) Learning Model on Students' Mathematical Concept Understanding Ability. PYTHAGORAS: </w:t>
      </w:r>
      <w:r>
        <w:rPr>
          <w:rFonts w:ascii="Cambria" w:hAnsi="Cambria" w:cs="Times New Roman"/>
          <w:i/>
          <w:iCs/>
          <w:sz w:val="24"/>
          <w:szCs w:val="24"/>
        </w:rPr>
        <w:t>Journal of Mathematics Education Study Program</w:t>
      </w:r>
      <w:r>
        <w:rPr>
          <w:rFonts w:ascii="Cambria" w:hAnsi="Cambria" w:cs="Times New Roman"/>
          <w:sz w:val="24"/>
          <w:szCs w:val="24"/>
        </w:rPr>
        <w:t>, 9(1), 55–62.</w:t>
      </w:r>
    </w:p>
    <w:p w14:paraId="1C673631">
      <w:pPr>
        <w:keepNext w:val="0"/>
        <w:keepLines w:val="0"/>
        <w:pageBreakBefore w:val="0"/>
        <w:kinsoku/>
        <w:wordWrap/>
        <w:overflowPunct/>
        <w:topLinePunct w:val="0"/>
        <w:bidi w:val="0"/>
        <w:snapToGrid/>
        <w:spacing w:after="0" w:line="240" w:lineRule="auto"/>
        <w:jc w:val="both"/>
        <w:textAlignment w:val="auto"/>
        <w:rPr>
          <w:rFonts w:ascii="Cambria" w:hAnsi="Cambria" w:eastAsia="Cambria" w:cs="Cambria"/>
          <w:sz w:val="24"/>
          <w:szCs w:val="24"/>
        </w:rPr>
      </w:pPr>
      <w:r>
        <w:rPr>
          <w:rFonts w:ascii="Cambria" w:hAnsi="Cambria" w:eastAsia="Cambria" w:cs="Cambria"/>
          <w:sz w:val="24"/>
          <w:szCs w:val="24"/>
        </w:rPr>
        <w:fldChar w:fldCharType="end"/>
      </w:r>
    </w:p>
    <w:sectPr>
      <w:headerReference r:id="rId5" w:type="default"/>
      <w:footerReference r:id="rId7" w:type="default"/>
      <w:headerReference r:id="rId6" w:type="even"/>
      <w:footerReference r:id="rId8" w:type="even"/>
      <w:type w:val="continuous"/>
      <w:pgSz w:w="11907" w:h="16839"/>
      <w:pgMar w:top="1701" w:right="1701" w:bottom="1701" w:left="1701" w:header="708" w:footer="708" w:gutter="0"/>
      <w:pgNumType w:fmt="decimal" w:start="204"/>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Georgia">
    <w:panose1 w:val="02040502050405020303"/>
    <w:charset w:val="00"/>
    <w:family w:val="roman"/>
    <w:pitch w:val="default"/>
    <w:sig w:usb0="00000287" w:usb1="00000000" w:usb2="00000000" w:usb3="00000000" w:csb0="2000009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086D2">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ind w:left="426" w:hanging="426"/>
      <w:rPr>
        <w:rFonts w:hint="default" w:ascii="Times New Roman" w:hAnsi="Times New Roman" w:eastAsia="Times New Roman" w:cs="Times New Roman"/>
        <w:b/>
        <w:bCs/>
        <w:color w:val="000000"/>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A6CCF">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ind w:left="426" w:hanging="426"/>
                            <w:rPr>
                              <w:rFonts w:hint="default" w:ascii="Times New Roman" w:hAnsi="Times New Roman" w:eastAsia="Times New Roman" w:cs="Times New Roman"/>
                              <w:b/>
                              <w:bCs/>
                              <w:color w:val="000000"/>
                              <w:sz w:val="24"/>
                              <w:szCs w:val="24"/>
                            </w:rPr>
                          </w:pPr>
                          <w:r>
                            <w:rPr>
                              <w:rFonts w:hint="default" w:ascii="Times New Roman" w:hAnsi="Times New Roman" w:cs="Times New Roman"/>
                              <w:b/>
                              <w:bCs/>
                              <w:color w:val="000000"/>
                              <w:sz w:val="24"/>
                              <w:szCs w:val="24"/>
                            </w:rPr>
                            <w:t xml:space="preserve"> </w:t>
                          </w:r>
                        </w:p>
                        <w:p w14:paraId="11463CF0">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ind w:left="426" w:hanging="426"/>
                          </w:pPr>
                          <w:r>
                            <w:rPr>
                              <w:rFonts w:hint="default" w:ascii="Times New Roman" w:hAnsi="Times New Roman" w:eastAsia="Times New Roman" w:cs="Times New Roman"/>
                              <w:b/>
                              <w:bCs/>
                              <w:color w:val="000000"/>
                              <w:sz w:val="24"/>
                              <w:szCs w:val="24"/>
                            </w:rPr>
                            <w:fldChar w:fldCharType="begin"/>
                          </w:r>
                          <w:r>
                            <w:rPr>
                              <w:rFonts w:hint="default" w:ascii="Times New Roman" w:hAnsi="Times New Roman" w:eastAsia="Times New Roman" w:cs="Times New Roman"/>
                              <w:b/>
                              <w:bCs/>
                              <w:color w:val="000000"/>
                              <w:sz w:val="24"/>
                              <w:szCs w:val="24"/>
                            </w:rPr>
                            <w:instrText xml:space="preserve">PAGE</w:instrText>
                          </w:r>
                          <w:r>
                            <w:rPr>
                              <w:rFonts w:hint="default" w:ascii="Times New Roman" w:hAnsi="Times New Roman" w:eastAsia="Times New Roman" w:cs="Times New Roman"/>
                              <w:b/>
                              <w:bCs/>
                              <w:color w:val="000000"/>
                              <w:sz w:val="24"/>
                              <w:szCs w:val="24"/>
                            </w:rPr>
                            <w:fldChar w:fldCharType="end"/>
                          </w:r>
                          <w:r>
                            <w:rPr>
                              <w:rFonts w:hint="default" w:ascii="Times New Roman" w:hAnsi="Times New Roman" w:cs="Times New Roman"/>
                              <w:b/>
                              <w:bCs/>
                              <w:color w:val="000000"/>
                              <w:sz w:val="24"/>
                              <w:szCs w:val="24"/>
                            </w:rPr>
                            <w:t xml:space="preserve"> |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mzRMYIgIA&#10;AGAEAAAOAAAAAAAAAAEAIAAAAB8BAABkcnMvZTJvRG9jLnhtbFBLBQYAAAAABgAGAFkBAACzBQAA&#10;AAA=&#10;">
              <v:fill on="f" focussize="0,0"/>
              <v:stroke on="f" weight="0.5pt"/>
              <v:imagedata o:title=""/>
              <o:lock v:ext="edit" aspectratio="f"/>
              <v:textbox inset="0mm,0mm,0mm,0mm" style="mso-fit-shape-to-text:t;">
                <w:txbxContent>
                  <w:p w14:paraId="35AA6CCF">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ind w:left="426" w:hanging="426"/>
                      <w:rPr>
                        <w:rFonts w:hint="default" w:ascii="Times New Roman" w:hAnsi="Times New Roman" w:eastAsia="Times New Roman" w:cs="Times New Roman"/>
                        <w:b/>
                        <w:bCs/>
                        <w:color w:val="000000"/>
                        <w:sz w:val="24"/>
                        <w:szCs w:val="24"/>
                      </w:rPr>
                    </w:pPr>
                    <w:r>
                      <w:rPr>
                        <w:rFonts w:hint="default" w:ascii="Times New Roman" w:hAnsi="Times New Roman" w:cs="Times New Roman"/>
                        <w:b/>
                        <w:bCs/>
                        <w:color w:val="000000"/>
                        <w:sz w:val="24"/>
                        <w:szCs w:val="24"/>
                      </w:rPr>
                      <w:t xml:space="preserve"> </w:t>
                    </w:r>
                  </w:p>
                  <w:p w14:paraId="11463CF0">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ind w:left="426" w:hanging="426"/>
                    </w:pPr>
                    <w:r>
                      <w:rPr>
                        <w:rFonts w:hint="default" w:ascii="Times New Roman" w:hAnsi="Times New Roman" w:eastAsia="Times New Roman" w:cs="Times New Roman"/>
                        <w:b/>
                        <w:bCs/>
                        <w:color w:val="000000"/>
                        <w:sz w:val="24"/>
                        <w:szCs w:val="24"/>
                      </w:rPr>
                      <w:fldChar w:fldCharType="begin"/>
                    </w:r>
                    <w:r>
                      <w:rPr>
                        <w:rFonts w:hint="default" w:ascii="Times New Roman" w:hAnsi="Times New Roman" w:eastAsia="Times New Roman" w:cs="Times New Roman"/>
                        <w:b/>
                        <w:bCs/>
                        <w:color w:val="000000"/>
                        <w:sz w:val="24"/>
                        <w:szCs w:val="24"/>
                      </w:rPr>
                      <w:instrText xml:space="preserve">PAGE</w:instrText>
                    </w:r>
                    <w:r>
                      <w:rPr>
                        <w:rFonts w:hint="default" w:ascii="Times New Roman" w:hAnsi="Times New Roman" w:eastAsia="Times New Roman" w:cs="Times New Roman"/>
                        <w:b/>
                        <w:bCs/>
                        <w:color w:val="000000"/>
                        <w:sz w:val="24"/>
                        <w:szCs w:val="24"/>
                      </w:rPr>
                      <w:fldChar w:fldCharType="end"/>
                    </w:r>
                    <w:r>
                      <w:rPr>
                        <w:rFonts w:hint="default" w:ascii="Times New Roman" w:hAnsi="Times New Roman" w:cs="Times New Roman"/>
                        <w:b/>
                        <w:bCs/>
                        <w:color w:val="000000"/>
                        <w:sz w:val="24"/>
                        <w:szCs w:val="24"/>
                      </w:rPr>
                      <w:t xml:space="preserve"> | </w:t>
                    </w:r>
                  </w:p>
                </w:txbxContent>
              </v:textbox>
            </v:shape>
          </w:pict>
        </mc:Fallback>
      </mc:AlternateContent>
    </w:r>
  </w:p>
  <w:p w14:paraId="2B6F70F3">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A748B">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rPr>
        <w:rFonts w:ascii="Times New Roman" w:hAnsi="Times New Roman" w:eastAsia="Times New Roman" w:cs="Times New Roman"/>
        <w:color w:val="000000"/>
        <w:sz w:val="20"/>
        <w:szCs w:val="2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 xml:space="preserve">PAGE</w:instrText>
    </w:r>
    <w:r>
      <w:rPr>
        <w:rFonts w:ascii="Times New Roman" w:hAnsi="Times New Roman" w:eastAsia="Times New Roman" w:cs="Times New Roman"/>
        <w:color w:val="000000"/>
      </w:rPr>
      <w:fldChar w:fldCharType="separate"/>
    </w:r>
    <w:r>
      <w:rPr>
        <w:rFonts w:ascii="Times New Roman" w:hAnsi="Times New Roman" w:eastAsia="Times New Roman" w:cs="Times New Roman"/>
        <w:color w:val="000000"/>
      </w:rPr>
      <w:fldChar w:fldCharType="end"/>
    </w:r>
    <w:r>
      <w:rPr>
        <w:b/>
        <w:color w:val="000000"/>
      </w:rPr>
      <w:t>|</w:t>
    </w:r>
    <w:r>
      <w:rPr>
        <w:rFonts w:ascii="Times New Roman" w:hAnsi="Times New Roman" w:eastAsia="Times New Roman" w:cs="Times New Roman"/>
        <w:color w:val="000000"/>
        <w:sz w:val="20"/>
        <w:szCs w:val="20"/>
      </w:rPr>
      <w:t>Axiom</w:t>
    </w:r>
  </w:p>
  <w:p w14:paraId="2625DD0D">
    <w:pPr>
      <w:pBdr>
        <w:top w:val="none" w:color="auto" w:sz="0" w:space="0"/>
        <w:left w:val="none" w:color="auto" w:sz="0" w:space="0"/>
        <w:bottom w:val="none" w:color="auto" w:sz="0" w:space="0"/>
        <w:right w:val="none" w:color="auto" w:sz="0" w:space="0"/>
        <w:between w:val="none" w:color="auto" w:sz="0" w:space="0"/>
      </w:pBdr>
      <w:tabs>
        <w:tab w:val="center" w:pos="4680"/>
        <w:tab w:val="right" w:pos="9360"/>
      </w:tabs>
      <w:spacing w:after="0" w:line="240" w:lineRule="auto"/>
      <w:ind w:left="426" w:hanging="426"/>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 xml:space="preserve">       Journal of Mathematics Education, Faculty of Teacher Training and Education, Muhammadiyah University, Metro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32182">
    <w:pPr>
      <w:tabs>
        <w:tab w:val="left" w:pos="1276"/>
        <w:tab w:val="center" w:pos="4513"/>
        <w:tab w:val="left" w:pos="5515"/>
        <w:tab w:val="left" w:pos="6663"/>
        <w:tab w:val="right" w:pos="9026"/>
      </w:tabs>
      <w:spacing w:after="0" w:line="240" w:lineRule="auto"/>
      <w:jc w:val="both"/>
      <w:rPr>
        <w:rFonts w:eastAsia="Times New Roman" w:asciiTheme="majorHAnsi" w:hAnsiTheme="majorHAnsi"/>
        <w:lang w:val="en-US"/>
      </w:rPr>
    </w:pPr>
    <w:r>
      <w:rPr>
        <w:rFonts w:eastAsia="Times New Roman" w:asciiTheme="majorHAnsi" w:hAnsiTheme="majorHAnsi"/>
        <w:b/>
        <w:lang w:val="en-US"/>
      </w:rPr>
      <w:t>EMTEKA</w:t>
    </w:r>
    <w:r>
      <w:rPr>
        <w:rFonts w:eastAsia="Times New Roman" w:asciiTheme="majorHAnsi" w:hAnsiTheme="majorHAnsi"/>
      </w:rPr>
      <w:t>:</w:t>
    </w:r>
    <w:r>
      <w:rPr>
        <w:rFonts w:eastAsia="Times New Roman" w:asciiTheme="majorHAnsi" w:hAnsiTheme="majorHAnsi"/>
        <w:lang w:val="en-US"/>
      </w:rPr>
      <w:t xml:space="preserve"> Jurnal Pendidikan Matematika</w:t>
    </w:r>
    <w:r>
      <w:rPr>
        <w:rFonts w:eastAsia="Times New Roman" w:asciiTheme="majorHAnsi" w:hAnsiTheme="majorHAnsi"/>
      </w:rPr>
      <w:tab/>
    </w:r>
    <w:r>
      <w:rPr>
        <w:rFonts w:eastAsia="Times New Roman" w:asciiTheme="majorHAnsi" w:hAnsiTheme="majorHAnsi"/>
      </w:rPr>
      <w:tab/>
    </w:r>
    <w:r>
      <w:rPr>
        <w:rFonts w:eastAsia="Times New Roman" w:asciiTheme="majorHAnsi" w:hAnsiTheme="majorHAnsi"/>
        <w:lang w:val="en-US"/>
      </w:rPr>
      <w:tab/>
    </w:r>
    <w:r>
      <w:rPr>
        <w:rFonts w:eastAsia="Times New Roman" w:asciiTheme="majorHAnsi" w:hAnsiTheme="majorHAnsi"/>
        <w:lang w:val="en-US"/>
      </w:rPr>
      <w:t xml:space="preserve">  e-</w:t>
    </w:r>
    <w:r>
      <w:rPr>
        <w:rFonts w:eastAsia="Times New Roman" w:asciiTheme="majorHAnsi" w:hAnsiTheme="majorHAnsi"/>
      </w:rPr>
      <w:t>ISSN 2746-5594</w:t>
    </w:r>
    <w:r>
      <w:rPr>
        <w:rFonts w:eastAsia="Times New Roman" w:asciiTheme="majorHAnsi" w:hAnsiTheme="majorHAnsi"/>
        <w:lang w:val="en-US"/>
      </w:rPr>
      <w:t xml:space="preserve"> </w:t>
    </w:r>
  </w:p>
  <w:p w14:paraId="120AD1BD">
    <w:pPr>
      <w:tabs>
        <w:tab w:val="left" w:pos="1276"/>
        <w:tab w:val="center" w:pos="4513"/>
        <w:tab w:val="left" w:pos="5515"/>
        <w:tab w:val="left" w:pos="6663"/>
        <w:tab w:val="right" w:pos="9026"/>
      </w:tabs>
      <w:spacing w:after="0" w:line="240" w:lineRule="auto"/>
      <w:jc w:val="both"/>
      <w:rPr>
        <w:rFonts w:eastAsia="Times New Roman" w:asciiTheme="majorHAnsi" w:hAnsiTheme="majorHAnsi"/>
      </w:rPr>
    </w:pPr>
    <w:r>
      <w:rPr>
        <w:rFonts w:eastAsia="Times New Roman" w:asciiTheme="majorHAnsi" w:hAnsiTheme="majorHAnsi"/>
      </w:rPr>
      <w:t xml:space="preserve">Volume </w:t>
    </w:r>
    <w:r>
      <w:rPr>
        <w:rFonts w:hint="default" w:eastAsia="Times New Roman" w:asciiTheme="majorHAnsi" w:hAnsiTheme="majorHAnsi"/>
        <w:lang w:val="en-US"/>
      </w:rPr>
      <w:t>6</w:t>
    </w:r>
    <w:r>
      <w:rPr>
        <w:rFonts w:eastAsia="Times New Roman" w:asciiTheme="majorHAnsi" w:hAnsiTheme="majorHAnsi"/>
      </w:rPr>
      <w:t xml:space="preserve">, No. </w:t>
    </w:r>
    <w:r>
      <w:rPr>
        <w:rFonts w:hint="default" w:eastAsia="Times New Roman" w:asciiTheme="majorHAnsi" w:hAnsiTheme="majorHAnsi"/>
        <w:lang w:val="en-US"/>
      </w:rPr>
      <w:t>1</w:t>
    </w:r>
    <w:r>
      <w:rPr>
        <w:rFonts w:eastAsia="Times New Roman" w:asciiTheme="majorHAnsi" w:hAnsiTheme="majorHAnsi"/>
      </w:rPr>
      <w:t>, 20</w:t>
    </w:r>
    <w:r>
      <w:rPr>
        <w:rFonts w:eastAsia="Times New Roman" w:asciiTheme="majorHAnsi" w:hAnsiTheme="majorHAnsi"/>
        <w:lang w:val="en-US"/>
      </w:rPr>
      <w:t>2</w:t>
    </w:r>
    <w:r>
      <w:rPr>
        <w:rFonts w:hint="default" w:eastAsia="Times New Roman" w:asciiTheme="majorHAnsi" w:hAnsiTheme="majorHAnsi"/>
        <w:lang w:val="en-US"/>
      </w:rPr>
      <w:t>5</w:t>
    </w:r>
    <w:r>
      <w:rPr>
        <w:rFonts w:eastAsia="Times New Roman" w:asciiTheme="majorHAnsi" w:hAnsiTheme="majorHAnsi"/>
        <w:lang w:val="en-US"/>
      </w:rPr>
      <w:t xml:space="preserve">. </w:t>
    </w:r>
    <w:r>
      <w:rPr>
        <w:rFonts w:hint="default" w:eastAsia="Times New Roman" w:asciiTheme="majorHAnsi" w:hAnsiTheme="majorHAnsi"/>
        <w:lang w:val="en-US"/>
      </w:rPr>
      <w:t>204-214</w:t>
    </w:r>
    <w:r>
      <w:rPr>
        <w:rFonts w:eastAsia="Times New Roman" w:asciiTheme="majorHAnsi" w:hAnsiTheme="majorHAnsi"/>
        <w:lang w:val="en-US"/>
      </w:rPr>
      <w:tab/>
    </w:r>
    <w:r>
      <w:rPr>
        <w:rFonts w:eastAsia="Times New Roman" w:asciiTheme="majorHAnsi" w:hAnsiTheme="majorHAnsi"/>
        <w:lang w:val="en-US"/>
      </w:rPr>
      <w:tab/>
    </w:r>
    <w:r>
      <w:rPr>
        <w:rFonts w:eastAsia="Times New Roman" w:asciiTheme="majorHAnsi" w:hAnsiTheme="majorHAnsi"/>
        <w:lang w:val="en-US"/>
      </w:rPr>
      <w:tab/>
    </w:r>
    <w:r>
      <w:rPr>
        <w:rFonts w:eastAsia="Times New Roman" w:asciiTheme="majorHAnsi" w:hAnsiTheme="majorHAnsi"/>
        <w:lang w:val="en-US"/>
      </w:rPr>
      <w:t xml:space="preserve">  p-</w:t>
    </w:r>
    <w:r>
      <w:rPr>
        <w:rFonts w:eastAsia="Times New Roman" w:asciiTheme="majorHAnsi" w:hAnsiTheme="majorHAnsi"/>
      </w:rPr>
      <w:t>ISSN 2746-5608</w:t>
    </w:r>
  </w:p>
  <w:p w14:paraId="79C95B0E">
    <w:pPr>
      <w:pStyle w:val="17"/>
      <w:rPr>
        <w:rFonts w:eastAsia="Times New Roman" w:asciiTheme="majorHAnsi" w:hAnsiTheme="majorHAnsi"/>
      </w:rPr>
    </w:pPr>
    <w:r>
      <w:rPr>
        <w:rFonts w:ascii="Cambria" w:hAnsi="Cambria" w:eastAsia="Cambria" w:cs="Cambria"/>
        <w:rtl w:val="0"/>
      </w:rPr>
      <w:t xml:space="preserve">DOI: </w:t>
    </w:r>
    <w:r>
      <w:fldChar w:fldCharType="begin"/>
    </w:r>
    <w:r>
      <w:instrText xml:space="preserve"> HYPERLINK "https://doi.org/10.24127/emteka.v6i1.7874" \h </w:instrText>
    </w:r>
    <w:r>
      <w:fldChar w:fldCharType="separate"/>
    </w:r>
    <w:r>
      <w:rPr>
        <w:rFonts w:ascii="Cambria" w:hAnsi="Cambria" w:eastAsia="Cambria" w:cs="Cambria"/>
        <w:color w:val="1155CC"/>
        <w:rtl w:val="0"/>
      </w:rPr>
      <w:t>https://doi.org/10.24127/emteka.v6i1.</w:t>
    </w:r>
    <w:r>
      <w:rPr>
        <w:rFonts w:ascii="Cambria" w:hAnsi="Cambria" w:eastAsia="Cambria" w:cs="Cambria"/>
        <w:color w:val="1155CC"/>
        <w:rtl w:val="0"/>
      </w:rPr>
      <w:fldChar w:fldCharType="end"/>
    </w:r>
    <w:r>
      <w:rPr>
        <w:rFonts w:hint="default" w:ascii="Cambria" w:hAnsi="Cambria" w:eastAsia="Cambria" w:cs="Cambria"/>
        <w:color w:val="1155CC"/>
        <w:rtl w:val="0"/>
        <w:lang w:val="en-US"/>
      </w:rPr>
      <w:t>7571</w:t>
    </w:r>
  </w:p>
  <w:p w14:paraId="5F4A0BB2">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C3907">
    <w:pPr>
      <w:pBdr>
        <w:top w:val="none" w:color="auto" w:sz="0" w:space="0"/>
        <w:left w:val="none" w:color="auto" w:sz="0" w:space="0"/>
        <w:bottom w:val="none" w:color="auto" w:sz="0" w:space="0"/>
        <w:right w:val="none" w:color="auto" w:sz="0" w:space="0"/>
        <w:between w:val="none" w:color="auto" w:sz="0" w:space="0"/>
      </w:pBdr>
      <w:tabs>
        <w:tab w:val="center" w:pos="4680"/>
        <w:tab w:val="left" w:pos="5515"/>
        <w:tab w:val="right" w:pos="9360"/>
      </w:tabs>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ISSN 2089-8703 Vol. 4, no. 1 (2015) 92-94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5E607C"/>
    <w:multiLevelType w:val="multilevel"/>
    <w:tmpl w:val="675E607C"/>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DF9"/>
    <w:rsid w:val="0000733C"/>
    <w:rsid w:val="00035B4F"/>
    <w:rsid w:val="00046055"/>
    <w:rsid w:val="000777FE"/>
    <w:rsid w:val="00093135"/>
    <w:rsid w:val="001D4FBD"/>
    <w:rsid w:val="002202F5"/>
    <w:rsid w:val="0024302A"/>
    <w:rsid w:val="002D092B"/>
    <w:rsid w:val="00320127"/>
    <w:rsid w:val="003333A3"/>
    <w:rsid w:val="00421400"/>
    <w:rsid w:val="004670D3"/>
    <w:rsid w:val="00493779"/>
    <w:rsid w:val="005004E6"/>
    <w:rsid w:val="005E352B"/>
    <w:rsid w:val="00667DC7"/>
    <w:rsid w:val="006A35C5"/>
    <w:rsid w:val="006E43A4"/>
    <w:rsid w:val="0072151B"/>
    <w:rsid w:val="00792C74"/>
    <w:rsid w:val="007941E0"/>
    <w:rsid w:val="007E6360"/>
    <w:rsid w:val="00844BAF"/>
    <w:rsid w:val="00895D74"/>
    <w:rsid w:val="008A4536"/>
    <w:rsid w:val="009337E4"/>
    <w:rsid w:val="00983DCF"/>
    <w:rsid w:val="00991FB2"/>
    <w:rsid w:val="009C79F5"/>
    <w:rsid w:val="009F40A5"/>
    <w:rsid w:val="009F4E81"/>
    <w:rsid w:val="00AC00F3"/>
    <w:rsid w:val="00B03D2D"/>
    <w:rsid w:val="00B54D9F"/>
    <w:rsid w:val="00B96F03"/>
    <w:rsid w:val="00BD71A6"/>
    <w:rsid w:val="00BF5C66"/>
    <w:rsid w:val="00CF230E"/>
    <w:rsid w:val="00D74DDF"/>
    <w:rsid w:val="00D90548"/>
    <w:rsid w:val="00D9624C"/>
    <w:rsid w:val="00DB7DD5"/>
    <w:rsid w:val="00E46D9C"/>
    <w:rsid w:val="00E66235"/>
    <w:rsid w:val="00EC02D1"/>
    <w:rsid w:val="00EE581F"/>
    <w:rsid w:val="00F40D2C"/>
    <w:rsid w:val="00F61652"/>
    <w:rsid w:val="00FB6E1D"/>
    <w:rsid w:val="00FD0018"/>
    <w:rsid w:val="00FE09A3"/>
    <w:rsid w:val="00FE5DF9"/>
    <w:rsid w:val="00FF5B54"/>
    <w:rsid w:val="188061B0"/>
    <w:rsid w:val="4B881C6C"/>
    <w:rsid w:val="7B5D0329"/>
    <w:rsid w:val="7C2164C5"/>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id-ID" w:eastAsia="id-ID"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alloon Text"/>
    <w:basedOn w:val="1"/>
    <w:link w:val="28"/>
    <w:semiHidden/>
    <w:unhideWhenUsed/>
    <w:qFormat/>
    <w:uiPriority w:val="99"/>
    <w:pPr>
      <w:spacing w:after="0" w:line="240" w:lineRule="auto"/>
    </w:pPr>
    <w:rPr>
      <w:rFonts w:ascii="Tahoma" w:hAnsi="Tahoma" w:cs="Tahoma"/>
      <w:sz w:val="16"/>
      <w:szCs w:val="16"/>
    </w:rPr>
  </w:style>
  <w:style w:type="character" w:styleId="11">
    <w:name w:val="annotation reference"/>
    <w:basedOn w:val="8"/>
    <w:semiHidden/>
    <w:unhideWhenUsed/>
    <w:qFormat/>
    <w:uiPriority w:val="99"/>
    <w:rPr>
      <w:sz w:val="16"/>
      <w:szCs w:val="16"/>
    </w:rPr>
  </w:style>
  <w:style w:type="paragraph" w:styleId="12">
    <w:name w:val="annotation text"/>
    <w:basedOn w:val="1"/>
    <w:link w:val="40"/>
    <w:semiHidden/>
    <w:unhideWhenUsed/>
    <w:qFormat/>
    <w:uiPriority w:val="99"/>
    <w:pPr>
      <w:spacing w:line="240" w:lineRule="auto"/>
    </w:pPr>
    <w:rPr>
      <w:sz w:val="20"/>
      <w:szCs w:val="20"/>
    </w:rPr>
  </w:style>
  <w:style w:type="paragraph" w:styleId="13">
    <w:name w:val="annotation subject"/>
    <w:basedOn w:val="12"/>
    <w:next w:val="12"/>
    <w:link w:val="41"/>
    <w:semiHidden/>
    <w:unhideWhenUsed/>
    <w:qFormat/>
    <w:uiPriority w:val="99"/>
    <w:rPr>
      <w:b/>
      <w:bCs/>
    </w:rPr>
  </w:style>
  <w:style w:type="paragraph" w:styleId="14">
    <w:name w:val="footer"/>
    <w:basedOn w:val="1"/>
    <w:link w:val="25"/>
    <w:unhideWhenUsed/>
    <w:qFormat/>
    <w:uiPriority w:val="99"/>
    <w:pPr>
      <w:tabs>
        <w:tab w:val="center" w:pos="4680"/>
        <w:tab w:val="right" w:pos="9360"/>
      </w:tabs>
      <w:spacing w:after="0" w:line="240" w:lineRule="auto"/>
    </w:pPr>
    <w:rPr>
      <w:rFonts w:eastAsiaTheme="minorEastAsia"/>
      <w:lang w:val="en-US"/>
    </w:rPr>
  </w:style>
  <w:style w:type="character" w:styleId="15">
    <w:name w:val="footnote reference"/>
    <w:basedOn w:val="8"/>
    <w:semiHidden/>
    <w:unhideWhenUsed/>
    <w:qFormat/>
    <w:uiPriority w:val="99"/>
    <w:rPr>
      <w:vertAlign w:val="superscript"/>
    </w:rPr>
  </w:style>
  <w:style w:type="paragraph" w:styleId="16">
    <w:name w:val="footnote text"/>
    <w:basedOn w:val="1"/>
    <w:link w:val="31"/>
    <w:semiHidden/>
    <w:unhideWhenUsed/>
    <w:qFormat/>
    <w:uiPriority w:val="99"/>
    <w:pPr>
      <w:spacing w:after="0" w:line="240" w:lineRule="auto"/>
    </w:pPr>
    <w:rPr>
      <w:sz w:val="20"/>
      <w:szCs w:val="20"/>
    </w:rPr>
  </w:style>
  <w:style w:type="paragraph" w:styleId="17">
    <w:name w:val="header"/>
    <w:basedOn w:val="1"/>
    <w:link w:val="24"/>
    <w:unhideWhenUsed/>
    <w:qFormat/>
    <w:uiPriority w:val="99"/>
    <w:pPr>
      <w:tabs>
        <w:tab w:val="center" w:pos="4680"/>
        <w:tab w:val="right" w:pos="9360"/>
      </w:tabs>
      <w:spacing w:after="0" w:line="240" w:lineRule="auto"/>
    </w:pPr>
    <w:rPr>
      <w:rFonts w:eastAsiaTheme="minorEastAsia"/>
      <w:lang w:val="en-US"/>
    </w:rPr>
  </w:style>
  <w:style w:type="character" w:styleId="18">
    <w:name w:val="Hyperlink"/>
    <w:basedOn w:val="8"/>
    <w:unhideWhenUsed/>
    <w:qFormat/>
    <w:uiPriority w:val="99"/>
    <w:rPr>
      <w:color w:val="0000FF" w:themeColor="hyperlink"/>
      <w:u w:val="single"/>
      <w14:textFill>
        <w14:solidFill>
          <w14:schemeClr w14:val="hlink"/>
        </w14:solidFill>
      </w14:textFill>
    </w:rPr>
  </w:style>
  <w:style w:type="paragraph" w:styleId="19">
    <w:name w:val="Normal (Web)"/>
    <w:basedOn w:val="1"/>
    <w:semiHidden/>
    <w:unhideWhenUsed/>
    <w:qFormat/>
    <w:uiPriority w:val="99"/>
    <w:rPr>
      <w:rFonts w:ascii="Times New Roman" w:hAnsi="Times New Roman" w:cs="Times New Roman"/>
      <w:sz w:val="24"/>
      <w:szCs w:val="24"/>
    </w:rPr>
  </w:style>
  <w:style w:type="paragraph" w:styleId="20">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21">
    <w:name w:val="Table Grid"/>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Title"/>
    <w:basedOn w:val="1"/>
    <w:next w:val="1"/>
    <w:qFormat/>
    <w:uiPriority w:val="10"/>
    <w:pPr>
      <w:keepNext/>
      <w:keepLines/>
      <w:spacing w:before="480" w:after="120"/>
    </w:pPr>
    <w:rPr>
      <w:b/>
      <w:sz w:val="72"/>
      <w:szCs w:val="72"/>
    </w:rPr>
  </w:style>
  <w:style w:type="table" w:customStyle="1" w:styleId="23">
    <w:name w:val="Table Normal1"/>
    <w:qFormat/>
    <w:uiPriority w:val="0"/>
    <w:tblPr>
      <w:tblCellMar>
        <w:top w:w="0" w:type="dxa"/>
        <w:left w:w="0" w:type="dxa"/>
        <w:bottom w:w="0" w:type="dxa"/>
        <w:right w:w="0" w:type="dxa"/>
      </w:tblCellMar>
    </w:tblPr>
  </w:style>
  <w:style w:type="character" w:customStyle="1" w:styleId="24">
    <w:name w:val="Header KAR"/>
    <w:basedOn w:val="8"/>
    <w:link w:val="17"/>
    <w:qFormat/>
    <w:uiPriority w:val="99"/>
    <w:rPr>
      <w:rFonts w:eastAsiaTheme="minorEastAsia"/>
      <w:lang w:val="en-US"/>
    </w:rPr>
  </w:style>
  <w:style w:type="character" w:customStyle="1" w:styleId="25">
    <w:name w:val="Footer KAR"/>
    <w:basedOn w:val="8"/>
    <w:link w:val="14"/>
    <w:qFormat/>
    <w:uiPriority w:val="99"/>
    <w:rPr>
      <w:rFonts w:eastAsiaTheme="minorEastAsia"/>
      <w:lang w:val="en-US"/>
    </w:rPr>
  </w:style>
  <w:style w:type="paragraph" w:customStyle="1" w:styleId="26">
    <w:name w:val="List Paragraph1"/>
    <w:basedOn w:val="1"/>
    <w:qFormat/>
    <w:uiPriority w:val="34"/>
    <w:pPr>
      <w:spacing w:after="0" w:line="240" w:lineRule="auto"/>
      <w:ind w:left="720"/>
      <w:contextualSpacing/>
    </w:pPr>
    <w:rPr>
      <w:rFonts w:ascii="Times New Roman" w:hAnsi="Times New Roman" w:eastAsia="SimSun" w:cs="Times New Roman"/>
      <w:sz w:val="24"/>
      <w:szCs w:val="24"/>
      <w:lang w:val="en-US" w:eastAsia="zh-CN"/>
    </w:rPr>
  </w:style>
  <w:style w:type="character" w:customStyle="1" w:styleId="27">
    <w:name w:val="hps"/>
    <w:basedOn w:val="8"/>
    <w:qFormat/>
    <w:uiPriority w:val="0"/>
  </w:style>
  <w:style w:type="character" w:customStyle="1" w:styleId="28">
    <w:name w:val="Teks Balon KAR"/>
    <w:basedOn w:val="8"/>
    <w:link w:val="10"/>
    <w:semiHidden/>
    <w:qFormat/>
    <w:uiPriority w:val="99"/>
    <w:rPr>
      <w:rFonts w:ascii="Tahoma" w:hAnsi="Tahoma" w:cs="Tahoma"/>
      <w:sz w:val="16"/>
      <w:szCs w:val="16"/>
    </w:rPr>
  </w:style>
  <w:style w:type="paragraph" w:styleId="29">
    <w:name w:val="No Spacing"/>
    <w:qFormat/>
    <w:uiPriority w:val="1"/>
    <w:pPr>
      <w:spacing w:after="0" w:line="240" w:lineRule="auto"/>
    </w:pPr>
    <w:rPr>
      <w:rFonts w:ascii="Calibri" w:hAnsi="Calibri" w:eastAsia="Calibri" w:cs="Calibri"/>
      <w:sz w:val="22"/>
      <w:szCs w:val="22"/>
      <w:lang w:val="id-ID" w:eastAsia="id-ID" w:bidi="ar-SA"/>
    </w:rPr>
  </w:style>
  <w:style w:type="paragraph" w:customStyle="1" w:styleId="30">
    <w:name w:val="Default"/>
    <w:qFormat/>
    <w:uiPriority w:val="0"/>
    <w:pPr>
      <w:autoSpaceDE w:val="0"/>
      <w:autoSpaceDN w:val="0"/>
      <w:adjustRightInd w:val="0"/>
      <w:spacing w:after="0" w:line="240" w:lineRule="auto"/>
    </w:pPr>
    <w:rPr>
      <w:rFonts w:ascii="Calibri" w:hAnsi="Calibri" w:eastAsia="Calibri" w:cs="Calibri"/>
      <w:color w:val="000000"/>
      <w:sz w:val="24"/>
      <w:szCs w:val="24"/>
      <w:lang w:val="id-ID" w:eastAsia="id-ID" w:bidi="ar-SA"/>
    </w:rPr>
  </w:style>
  <w:style w:type="character" w:customStyle="1" w:styleId="31">
    <w:name w:val="Teks Catatan Kaki KAR"/>
    <w:basedOn w:val="8"/>
    <w:link w:val="16"/>
    <w:semiHidden/>
    <w:qFormat/>
    <w:uiPriority w:val="99"/>
    <w:rPr>
      <w:sz w:val="20"/>
      <w:szCs w:val="20"/>
    </w:rPr>
  </w:style>
  <w:style w:type="table" w:customStyle="1" w:styleId="32">
    <w:name w:val="_Style 27"/>
    <w:basedOn w:val="9"/>
    <w:qFormat/>
    <w:uiPriority w:val="0"/>
    <w:pPr>
      <w:spacing w:after="0" w:line="240" w:lineRule="auto"/>
    </w:pPr>
  </w:style>
  <w:style w:type="table" w:customStyle="1" w:styleId="33">
    <w:name w:val="_Style 28"/>
    <w:basedOn w:val="9"/>
    <w:qFormat/>
    <w:uiPriority w:val="0"/>
    <w:pPr>
      <w:spacing w:after="0" w:line="240" w:lineRule="auto"/>
    </w:pPr>
  </w:style>
  <w:style w:type="table" w:customStyle="1" w:styleId="34">
    <w:name w:val="_Style 29"/>
    <w:basedOn w:val="9"/>
    <w:qFormat/>
    <w:uiPriority w:val="0"/>
    <w:pPr>
      <w:spacing w:after="0" w:line="240" w:lineRule="auto"/>
    </w:pPr>
  </w:style>
  <w:style w:type="table" w:customStyle="1" w:styleId="35">
    <w:name w:val="_Style 30"/>
    <w:basedOn w:val="9"/>
    <w:qFormat/>
    <w:uiPriority w:val="0"/>
    <w:pPr>
      <w:spacing w:after="0" w:line="240" w:lineRule="auto"/>
    </w:pPr>
  </w:style>
  <w:style w:type="character" w:customStyle="1" w:styleId="36">
    <w:name w:val="Unresolved Mention"/>
    <w:basedOn w:val="8"/>
    <w:semiHidden/>
    <w:unhideWhenUsed/>
    <w:qFormat/>
    <w:uiPriority w:val="99"/>
    <w:rPr>
      <w:color w:val="605E5C"/>
      <w:shd w:val="clear" w:color="auto" w:fill="E1DFDD"/>
    </w:rPr>
  </w:style>
  <w:style w:type="table" w:customStyle="1" w:styleId="37">
    <w:name w:val="Kisi Tabel1"/>
    <w:basedOn w:val="9"/>
    <w:qFormat/>
    <w:uiPriority w:val="59"/>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8">
    <w:name w:val="List Paragraph"/>
    <w:basedOn w:val="1"/>
    <w:qFormat/>
    <w:uiPriority w:val="34"/>
    <w:pPr>
      <w:spacing w:after="160" w:line="259" w:lineRule="auto"/>
      <w:ind w:left="720"/>
      <w:contextualSpacing/>
    </w:pPr>
    <w:rPr>
      <w:rFonts w:asciiTheme="minorHAnsi" w:hAnsiTheme="minorHAnsi" w:eastAsiaTheme="minorHAnsi" w:cstheme="minorBidi"/>
      <w:kern w:val="2"/>
      <w:szCs w:val="28"/>
      <w:lang w:eastAsia="en-US" w:bidi="th-TH"/>
      <w14:ligatures w14:val="standardContextual"/>
    </w:rPr>
  </w:style>
  <w:style w:type="paragraph" w:customStyle="1" w:styleId="39">
    <w:name w:val="Bibliography"/>
    <w:basedOn w:val="1"/>
    <w:next w:val="1"/>
    <w:unhideWhenUsed/>
    <w:qFormat/>
    <w:uiPriority w:val="37"/>
  </w:style>
  <w:style w:type="character" w:customStyle="1" w:styleId="40">
    <w:name w:val="Teks Komentar KAR"/>
    <w:basedOn w:val="8"/>
    <w:link w:val="12"/>
    <w:semiHidden/>
    <w:qFormat/>
    <w:uiPriority w:val="99"/>
    <w:rPr>
      <w:sz w:val="20"/>
      <w:szCs w:val="20"/>
    </w:rPr>
  </w:style>
  <w:style w:type="character" w:customStyle="1" w:styleId="41">
    <w:name w:val="Subjek Komentar KAR"/>
    <w:basedOn w:val="40"/>
    <w:link w:val="13"/>
    <w:semiHidden/>
    <w:qFormat/>
    <w:uiPriority w:val="99"/>
    <w:rPr>
      <w:b/>
      <w:bCs/>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microsoft.com/office/2007/relationships/hdphoto" Target="media/image13.wdp"/><Relationship Id="rId21" Type="http://schemas.openxmlformats.org/officeDocument/2006/relationships/image" Target="media/image12.png"/><Relationship Id="rId20" Type="http://schemas.microsoft.com/office/2007/relationships/hdphoto" Target="media/image11.wdp"/><Relationship Id="rId2" Type="http://schemas.openxmlformats.org/officeDocument/2006/relationships/settings" Target="settings.xml"/><Relationship Id="rId19" Type="http://schemas.openxmlformats.org/officeDocument/2006/relationships/image" Target="media/image10.png"/><Relationship Id="rId18" Type="http://schemas.microsoft.com/office/2007/relationships/hdphoto" Target="media/image9.wdp"/><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IcbtveUexxCT+zi6ooXRDQhPCg==">CgMxLjAyCGguZ2pkZ3hzOAByITFreHUtMkJZQ0tnaDJjaG10OHZoU0VtX3lxT1l0NW5USA==</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B54755-96D5-4229-8DE8-DB9692CA06EF}">
  <ds:schemaRefs/>
</ds:datastoreItem>
</file>

<file path=customXml/itemProps3.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11</Pages>
  <Words>12170</Words>
  <Characters>69369</Characters>
  <Lines>578</Lines>
  <Paragraphs>162</Paragraphs>
  <TotalTime>2</TotalTime>
  <ScaleCrop>false</ScaleCrop>
  <LinksUpToDate>false</LinksUpToDate>
  <CharactersWithSpaces>81377</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2024-12-03T04:50:00Z</dcterms:created>
  <dc:creator>Personal</dc:creator>
  <cp:lastModifiedBy>User</cp:lastModifiedBy>
  <dcterms:modified xsi:type="dcterms:W3CDTF">2025-03-29T06:55:50Z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73f51306-ee54-39a1-bb0a-32d59dd94223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1033-12.2.0.20326</vt:lpwstr>
  </property>
  <property fmtid="{D5CDD505-2E9C-101B-9397-08002B2CF9AE}" pid="26" name="ICV">
    <vt:lpwstr>2476E7BBDEA54D15B36119364D59737E_13</vt:lpwstr>
  </property>
</Properties>
</file>